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C515" w14:textId="75824DF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3E7A93" w:rsidRPr="003E7A93">
        <w:rPr>
          <w:rFonts w:ascii="Arial" w:eastAsia="SimSun" w:hAnsi="Arial" w:cs="Times New Roman"/>
          <w:b/>
          <w:bCs/>
          <w:sz w:val="24"/>
          <w:szCs w:val="20"/>
          <w:lang w:eastAsia="ja-JP"/>
        </w:rPr>
        <w:t>R4-2504071</w:t>
      </w:r>
    </w:p>
    <w:bookmarkEnd w:id="0"/>
    <w:bookmarkEnd w:id="1"/>
    <w:p w14:paraId="354B9CAF"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30C6A85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34BF0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290B2C7" w14:textId="4AD0C6E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8231D">
        <w:rPr>
          <w:rFonts w:ascii="Arial" w:eastAsia="Calibri" w:hAnsi="Arial" w:cs="Arial"/>
          <w:b/>
          <w:bCs/>
          <w:sz w:val="24"/>
        </w:rPr>
        <w:t>On event-triggered L1 reporting for LTM</w:t>
      </w:r>
    </w:p>
    <w:p w14:paraId="54274A38" w14:textId="656EFB6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50DA9" w:rsidRPr="00850DA9">
        <w:rPr>
          <w:rFonts w:ascii="Arial" w:eastAsia="MS Mincho" w:hAnsi="Arial" w:cs="Arial"/>
          <w:b/>
          <w:bCs/>
          <w:sz w:val="24"/>
          <w:szCs w:val="20"/>
        </w:rPr>
        <w:t>7.27.2.1</w:t>
      </w:r>
    </w:p>
    <w:p w14:paraId="02571C97"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2F082F4" w14:textId="77777777" w:rsidR="00E323E9" w:rsidRPr="008F786B" w:rsidRDefault="00E323E9" w:rsidP="00841BCD">
      <w:pPr>
        <w:tabs>
          <w:tab w:val="left" w:pos="1985"/>
        </w:tabs>
        <w:rPr>
          <w:rFonts w:ascii="Arial" w:eastAsia="Calibri" w:hAnsi="Arial" w:cs="Arial"/>
          <w:b/>
          <w:bCs/>
          <w:sz w:val="24"/>
        </w:rPr>
      </w:pPr>
    </w:p>
    <w:p w14:paraId="3FDCAA07"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C8BCFF8" w14:textId="19E437F1" w:rsidR="0060543D" w:rsidRPr="008F786B" w:rsidRDefault="0038231D" w:rsidP="005C23A4">
      <w:r>
        <w:t>In this contribution we continue the discussion for Rel-19 event-triggered L1 reporting for LTM.</w:t>
      </w:r>
    </w:p>
    <w:p w14:paraId="6AB60C5F" w14:textId="77777777" w:rsidR="00B66B7D" w:rsidRDefault="003B659E" w:rsidP="00B66B7D">
      <w:pPr>
        <w:pStyle w:val="RAN4H1"/>
      </w:pPr>
      <w:bookmarkStart w:id="4" w:name="_Toc116995842"/>
      <w:r w:rsidRPr="008F786B">
        <w:t>Discussion</w:t>
      </w:r>
      <w:bookmarkEnd w:id="4"/>
    </w:p>
    <w:p w14:paraId="0A710E4E" w14:textId="6207591F" w:rsidR="0002775B" w:rsidRDefault="0002775B" w:rsidP="0002775B">
      <w:pPr>
        <w:pStyle w:val="RAN4H2"/>
      </w:pPr>
      <w:r>
        <w:t>Event-triggered reporting delay</w:t>
      </w:r>
    </w:p>
    <w:p w14:paraId="4B25497B" w14:textId="6FD38F40" w:rsidR="007F1281" w:rsidRDefault="007F1281" w:rsidP="007F1281">
      <w:r>
        <w:t xml:space="preserve">In the past RAN4 meetings, </w:t>
      </w:r>
      <w:r w:rsidR="003B6A09">
        <w:t>the following agreements have been made regarding the event-triggered reporting delay</w:t>
      </w:r>
      <w:r w:rsidR="00D41139">
        <w:t>:</w:t>
      </w:r>
    </w:p>
    <w:p w14:paraId="6250A70B" w14:textId="5ED50E03" w:rsidR="007F1281" w:rsidRDefault="002909E6" w:rsidP="003B6A09">
      <w:pPr>
        <w:pStyle w:val="ListParagraph"/>
        <w:numPr>
          <w:ilvl w:val="0"/>
          <w:numId w:val="42"/>
        </w:numPr>
      </w:pPr>
      <w:r w:rsidRPr="002909E6">
        <w:t>Starting point in event triggered L1 reporting requirements is the time when a condition exists at the UE which will trigger the reporting.</w:t>
      </w:r>
    </w:p>
    <w:p w14:paraId="0527A382" w14:textId="26D0D66A" w:rsidR="002909E6" w:rsidRDefault="002909E6" w:rsidP="003B6A09">
      <w:pPr>
        <w:pStyle w:val="ListParagraph"/>
        <w:numPr>
          <w:ilvl w:val="0"/>
          <w:numId w:val="42"/>
        </w:numPr>
      </w:pPr>
      <w:r w:rsidRPr="002909E6">
        <w:t>Ending point in event triggered L1 report requirements is defined as the point when the UE starts to transmit the first UL transmission to report measurement result over the air interface.</w:t>
      </w:r>
    </w:p>
    <w:p w14:paraId="5612978A" w14:textId="35685A66" w:rsidR="002909E6" w:rsidRDefault="00D14FED" w:rsidP="003B6A09">
      <w:pPr>
        <w:pStyle w:val="ListParagraph"/>
        <w:numPr>
          <w:ilvl w:val="0"/>
          <w:numId w:val="42"/>
        </w:numPr>
      </w:pPr>
      <w:r w:rsidRPr="00D14FED">
        <w:t xml:space="preserve">Additional time </w:t>
      </w:r>
      <w:proofErr w:type="spellStart"/>
      <w:r w:rsidRPr="00D14FED">
        <w:t>T</w:t>
      </w:r>
      <w:r w:rsidRPr="003B6A09">
        <w:rPr>
          <w:vertAlign w:val="subscript"/>
        </w:rPr>
        <w:t>SSB_time_index</w:t>
      </w:r>
      <w:proofErr w:type="spellEnd"/>
      <w:r w:rsidRPr="00D14FED">
        <w:t xml:space="preserve"> for SSB index acquisition is needed, unless </w:t>
      </w:r>
      <w:proofErr w:type="spellStart"/>
      <w:r w:rsidRPr="003B6A09">
        <w:rPr>
          <w:i/>
          <w:iCs/>
        </w:rPr>
        <w:t>deriveSSB-IndexFromCell</w:t>
      </w:r>
      <w:proofErr w:type="spellEnd"/>
      <w:r w:rsidRPr="00D14FED">
        <w:t xml:space="preserve"> is </w:t>
      </w:r>
      <w:proofErr w:type="gramStart"/>
      <w:r w:rsidRPr="00D14FED">
        <w:t>enabled</w:t>
      </w:r>
      <w:proofErr w:type="gramEnd"/>
      <w:r w:rsidRPr="00D14FED">
        <w:t xml:space="preserve"> or UE has reported SSB index in L3 measurement report of the same cell.</w:t>
      </w:r>
    </w:p>
    <w:p w14:paraId="5C167CE3" w14:textId="4FC85D22" w:rsidR="00D14FED" w:rsidRDefault="00D14FED" w:rsidP="003B6A09">
      <w:pPr>
        <w:pStyle w:val="ListParagraph"/>
        <w:numPr>
          <w:ilvl w:val="0"/>
          <w:numId w:val="42"/>
        </w:numPr>
      </w:pPr>
      <w:r w:rsidRPr="00D14FED">
        <w:t>No need to explicitly capture TTT in core requirements.</w:t>
      </w:r>
    </w:p>
    <w:p w14:paraId="1D32FE2B" w14:textId="343E26F2" w:rsidR="00D14FED" w:rsidRDefault="00D14FED" w:rsidP="003B6A09">
      <w:pPr>
        <w:pStyle w:val="ListParagraph"/>
        <w:numPr>
          <w:ilvl w:val="0"/>
          <w:numId w:val="42"/>
        </w:numPr>
      </w:pPr>
      <w:r w:rsidRPr="00D14FED">
        <w:t>RAN4 should start work assuming no L1 filtering.</w:t>
      </w:r>
    </w:p>
    <w:p w14:paraId="5E48FCBD" w14:textId="490C4D4B" w:rsidR="003B6A09" w:rsidRDefault="003B6A09" w:rsidP="003B6A09">
      <w:pPr>
        <w:pStyle w:val="ListParagraph"/>
        <w:numPr>
          <w:ilvl w:val="0"/>
          <w:numId w:val="42"/>
        </w:numPr>
      </w:pPr>
      <w:r w:rsidRPr="003B6A09">
        <w:t>For event triggered L1 measurement reporting, measurement reporting delay excludes a delay which is caused by no UL resources being available for UE to send the measurement report on, which is to follow the approach for event triggered L3 measurement reporting.</w:t>
      </w:r>
    </w:p>
    <w:p w14:paraId="772FA6B7" w14:textId="604A3C8D" w:rsidR="003B6A09" w:rsidRPr="007F1281" w:rsidRDefault="003B6A09" w:rsidP="007F1281">
      <w:r>
        <w:t xml:space="preserve">What remains to be open is how to define the </w:t>
      </w:r>
      <w:r w:rsidR="005B6518">
        <w:t xml:space="preserve">measurement evaluation </w:t>
      </w:r>
      <w:r w:rsidR="007F01F5">
        <w:t>delay</w:t>
      </w:r>
      <w:r>
        <w:t xml:space="preserve"> from when the</w:t>
      </w:r>
      <w:r w:rsidR="00E33BE1">
        <w:t xml:space="preserve"> reporting condition becomes fulfilled until the UE realizes the condition is fulfilled and triggers the report. In the last meeting this definition was discussed under issue 2-2</w:t>
      </w:r>
      <w:r w:rsidR="00277E87">
        <w:t xml:space="preserve"> [1]</w:t>
      </w:r>
      <w:r w:rsidR="00E33BE1">
        <w:t>:</w:t>
      </w:r>
    </w:p>
    <w:tbl>
      <w:tblPr>
        <w:tblStyle w:val="TableGrid"/>
        <w:tblW w:w="0" w:type="auto"/>
        <w:tblLook w:val="04A0" w:firstRow="1" w:lastRow="0" w:firstColumn="1" w:lastColumn="0" w:noHBand="0" w:noVBand="1"/>
      </w:tblPr>
      <w:tblGrid>
        <w:gridCol w:w="9617"/>
      </w:tblGrid>
      <w:tr w:rsidR="00BA47B6" w14:paraId="59F6CD44" w14:textId="77777777" w:rsidTr="00BA47B6">
        <w:tc>
          <w:tcPr>
            <w:tcW w:w="9617" w:type="dxa"/>
          </w:tcPr>
          <w:p w14:paraId="5EDD7FA2" w14:textId="77777777" w:rsidR="00BA47B6" w:rsidRPr="00E33BE1" w:rsidRDefault="00BA47B6" w:rsidP="00BA47B6">
            <w:pPr>
              <w:rPr>
                <w:b/>
                <w:bCs/>
                <w:sz w:val="18"/>
                <w:szCs w:val="20"/>
                <w:u w:val="single"/>
                <w:lang w:val="en-US"/>
              </w:rPr>
            </w:pPr>
            <w:r w:rsidRPr="00E33BE1">
              <w:rPr>
                <w:b/>
                <w:bCs/>
                <w:sz w:val="18"/>
                <w:szCs w:val="20"/>
                <w:u w:val="single"/>
                <w:lang w:val="en-US"/>
              </w:rPr>
              <w:t>Issue 2-2: Event triggered reporting delay for L1 reporting</w:t>
            </w:r>
          </w:p>
          <w:p w14:paraId="72765A9E" w14:textId="77777777" w:rsidR="00BA47B6" w:rsidRPr="00E33BE1" w:rsidRDefault="00BA47B6" w:rsidP="00BA47B6">
            <w:pPr>
              <w:rPr>
                <w:sz w:val="18"/>
                <w:szCs w:val="20"/>
                <w:lang w:val="en-US"/>
              </w:rPr>
            </w:pPr>
            <w:r w:rsidRPr="00E33BE1">
              <w:rPr>
                <w:b/>
                <w:bCs/>
                <w:sz w:val="18"/>
                <w:szCs w:val="20"/>
                <w:lang w:val="en-US"/>
              </w:rPr>
              <w:t>Agreement:</w:t>
            </w:r>
          </w:p>
          <w:p w14:paraId="417F4766" w14:textId="77777777" w:rsidR="00BA47B6" w:rsidRPr="00E33BE1" w:rsidRDefault="00BA47B6" w:rsidP="00BA47B6">
            <w:pPr>
              <w:numPr>
                <w:ilvl w:val="0"/>
                <w:numId w:val="33"/>
              </w:numPr>
              <w:rPr>
                <w:sz w:val="18"/>
                <w:szCs w:val="20"/>
                <w:lang w:val="en-US"/>
              </w:rPr>
            </w:pPr>
            <w:r w:rsidRPr="00E33BE1">
              <w:rPr>
                <w:sz w:val="18"/>
                <w:szCs w:val="20"/>
                <w:lang w:val="en-US"/>
              </w:rPr>
              <w:t>Except for periodic MR:</w:t>
            </w:r>
          </w:p>
          <w:p w14:paraId="4AE2F264" w14:textId="77777777" w:rsidR="00BA47B6" w:rsidRPr="00E33BE1" w:rsidRDefault="00BA47B6" w:rsidP="00BA47B6">
            <w:pPr>
              <w:numPr>
                <w:ilvl w:val="1"/>
                <w:numId w:val="33"/>
              </w:numPr>
              <w:rPr>
                <w:sz w:val="18"/>
                <w:szCs w:val="20"/>
                <w:lang w:val="en-US"/>
              </w:rPr>
            </w:pPr>
            <w:r w:rsidRPr="00E33BE1">
              <w:rPr>
                <w:sz w:val="18"/>
                <w:szCs w:val="20"/>
                <w:lang w:val="en-US"/>
              </w:rPr>
              <w:t>Option 1: The event triggered measurement reporting delay shall be no larger than the maximum L1-RSRP measurement period on the cells corresponding to the event.</w:t>
            </w:r>
          </w:p>
          <w:p w14:paraId="7F79B41A" w14:textId="77777777" w:rsidR="00BA47B6" w:rsidRPr="00E33BE1" w:rsidRDefault="00BA47B6" w:rsidP="00BA47B6">
            <w:pPr>
              <w:numPr>
                <w:ilvl w:val="2"/>
                <w:numId w:val="33"/>
              </w:numPr>
              <w:rPr>
                <w:sz w:val="18"/>
                <w:szCs w:val="20"/>
                <w:lang w:val="en-US"/>
              </w:rPr>
            </w:pPr>
            <w:r w:rsidRPr="00E33BE1">
              <w:rPr>
                <w:sz w:val="18"/>
                <w:szCs w:val="20"/>
                <w:lang w:val="en-US"/>
              </w:rPr>
              <w:t xml:space="preserve">The measurement period on the LTM candidate cells is based on the Rel-18 requirement, with the assumption of </w:t>
            </w:r>
            <w:proofErr w:type="spellStart"/>
            <w:r w:rsidRPr="00E33BE1">
              <w:rPr>
                <w:sz w:val="18"/>
                <w:szCs w:val="20"/>
                <w:lang w:val="en-US"/>
              </w:rPr>
              <w:t>Treport</w:t>
            </w:r>
            <w:proofErr w:type="spellEnd"/>
            <w:r w:rsidRPr="00E33BE1">
              <w:rPr>
                <w:sz w:val="18"/>
                <w:szCs w:val="20"/>
                <w:lang w:val="en-US"/>
              </w:rPr>
              <w:t xml:space="preserve"> is 0.</w:t>
            </w:r>
          </w:p>
          <w:p w14:paraId="7AFF381C" w14:textId="77777777" w:rsidR="00BA47B6" w:rsidRPr="00E33BE1" w:rsidRDefault="00BA47B6" w:rsidP="00BA47B6">
            <w:pPr>
              <w:numPr>
                <w:ilvl w:val="1"/>
                <w:numId w:val="33"/>
              </w:numPr>
              <w:rPr>
                <w:sz w:val="18"/>
                <w:szCs w:val="20"/>
                <w:lang w:val="en-US"/>
              </w:rPr>
            </w:pPr>
            <w:r w:rsidRPr="00E33BE1">
              <w:rPr>
                <w:sz w:val="18"/>
                <w:szCs w:val="20"/>
                <w:lang w:val="en-US"/>
              </w:rPr>
              <w:t xml:space="preserve">Option 2: The event triggered measurement reporting delay shall be no larger than the L1-RSRP measurement period corresponding to the Cell(s) which triggers the event on the cells corresponding to the event. </w:t>
            </w:r>
          </w:p>
          <w:p w14:paraId="2C189551" w14:textId="77777777" w:rsidR="00BA47B6" w:rsidRPr="00E33BE1" w:rsidRDefault="00BA47B6" w:rsidP="00BA47B6">
            <w:pPr>
              <w:numPr>
                <w:ilvl w:val="2"/>
                <w:numId w:val="33"/>
              </w:numPr>
              <w:rPr>
                <w:sz w:val="18"/>
                <w:szCs w:val="20"/>
                <w:lang w:val="en-US"/>
              </w:rPr>
            </w:pPr>
            <w:r w:rsidRPr="00E33BE1">
              <w:rPr>
                <w:sz w:val="18"/>
                <w:szCs w:val="20"/>
                <w:lang w:val="en-US"/>
              </w:rPr>
              <w:t xml:space="preserve">The measurement period on the LTM candidate cells is based on the Rel-18 requirement, with the assumption of </w:t>
            </w:r>
            <w:proofErr w:type="spellStart"/>
            <w:r w:rsidRPr="00E33BE1">
              <w:rPr>
                <w:sz w:val="18"/>
                <w:szCs w:val="20"/>
                <w:lang w:val="en-US"/>
              </w:rPr>
              <w:t>Treport</w:t>
            </w:r>
            <w:proofErr w:type="spellEnd"/>
            <w:r w:rsidRPr="00E33BE1">
              <w:rPr>
                <w:sz w:val="18"/>
                <w:szCs w:val="20"/>
                <w:lang w:val="en-US"/>
              </w:rPr>
              <w:t xml:space="preserve"> is 0.</w:t>
            </w:r>
          </w:p>
          <w:p w14:paraId="462503BD" w14:textId="77777777" w:rsidR="00BA47B6" w:rsidRPr="00E33BE1" w:rsidRDefault="00BA47B6" w:rsidP="00BA47B6">
            <w:pPr>
              <w:numPr>
                <w:ilvl w:val="0"/>
                <w:numId w:val="33"/>
              </w:numPr>
              <w:rPr>
                <w:sz w:val="18"/>
                <w:szCs w:val="20"/>
                <w:lang w:val="en-US"/>
              </w:rPr>
            </w:pPr>
            <w:r w:rsidRPr="00E33BE1">
              <w:rPr>
                <w:sz w:val="18"/>
                <w:szCs w:val="20"/>
                <w:lang w:val="en-US"/>
              </w:rPr>
              <w:t>For periodic MR:</w:t>
            </w:r>
          </w:p>
          <w:p w14:paraId="150D5629" w14:textId="77777777" w:rsidR="00BA47B6" w:rsidRPr="00E33BE1" w:rsidRDefault="00BA47B6" w:rsidP="00BA47B6">
            <w:pPr>
              <w:numPr>
                <w:ilvl w:val="1"/>
                <w:numId w:val="33"/>
              </w:numPr>
              <w:rPr>
                <w:sz w:val="18"/>
                <w:szCs w:val="20"/>
                <w:lang w:val="en-US"/>
              </w:rPr>
            </w:pPr>
            <w:r w:rsidRPr="00E33BE1">
              <w:rPr>
                <w:sz w:val="18"/>
                <w:szCs w:val="20"/>
                <w:lang w:val="en-US"/>
              </w:rPr>
              <w:t>Option 1: For the first report after condition is met, the event triggered measurement reporting delay shall be no larger than the maximum L1-RSRP measurement period on the cells corresponding to the event.</w:t>
            </w:r>
          </w:p>
          <w:p w14:paraId="3BAF16F8" w14:textId="77777777" w:rsidR="00BA47B6" w:rsidRPr="00E33BE1" w:rsidRDefault="00BA47B6" w:rsidP="00BA47B6">
            <w:pPr>
              <w:numPr>
                <w:ilvl w:val="2"/>
                <w:numId w:val="33"/>
              </w:numPr>
              <w:rPr>
                <w:sz w:val="18"/>
                <w:szCs w:val="20"/>
                <w:lang w:val="en-US"/>
              </w:rPr>
            </w:pPr>
            <w:r w:rsidRPr="00E33BE1">
              <w:rPr>
                <w:sz w:val="18"/>
                <w:szCs w:val="20"/>
                <w:lang w:val="en-US"/>
              </w:rPr>
              <w:t>RAN4 define delay requirement for the first report after condition is met. After that, UE follow the network configuration on the reporting interval. FFS how to capture this agreement into the CR.</w:t>
            </w:r>
          </w:p>
          <w:p w14:paraId="47110B26" w14:textId="77777777" w:rsidR="00BA47B6" w:rsidRPr="00E33BE1" w:rsidRDefault="00BA47B6" w:rsidP="00BA47B6">
            <w:pPr>
              <w:numPr>
                <w:ilvl w:val="1"/>
                <w:numId w:val="33"/>
              </w:numPr>
              <w:rPr>
                <w:sz w:val="18"/>
                <w:szCs w:val="20"/>
                <w:lang w:val="en-US"/>
              </w:rPr>
            </w:pPr>
            <w:r w:rsidRPr="00E33BE1">
              <w:rPr>
                <w:sz w:val="18"/>
                <w:szCs w:val="20"/>
                <w:lang w:val="en-US"/>
              </w:rPr>
              <w:t>Option 2: For the first report after condition is met, the event triggered measurement reporting delay shall be no larger than the L1-RSRP measurement period corresponding to the Cell(s) which triggers the event on the cells corresponding to the event.</w:t>
            </w:r>
          </w:p>
          <w:p w14:paraId="73E58F96" w14:textId="77777777" w:rsidR="00BA47B6" w:rsidRPr="00E33BE1" w:rsidRDefault="00BA47B6" w:rsidP="00BA47B6">
            <w:pPr>
              <w:numPr>
                <w:ilvl w:val="2"/>
                <w:numId w:val="33"/>
              </w:numPr>
              <w:rPr>
                <w:sz w:val="18"/>
                <w:szCs w:val="20"/>
                <w:lang w:val="en-US"/>
              </w:rPr>
            </w:pPr>
            <w:r w:rsidRPr="00E33BE1">
              <w:rPr>
                <w:sz w:val="18"/>
                <w:szCs w:val="20"/>
                <w:lang w:val="en-US"/>
              </w:rPr>
              <w:lastRenderedPageBreak/>
              <w:t>RAN4 define delay requirement for the first report after condition is met. After that, UE follow the network configuration on the reporting interval. FFS how to capture this agreement into the CR.</w:t>
            </w:r>
          </w:p>
          <w:p w14:paraId="40F6DFDC" w14:textId="77777777" w:rsidR="00BA47B6" w:rsidRDefault="00BA47B6" w:rsidP="0038231D"/>
        </w:tc>
      </w:tr>
    </w:tbl>
    <w:p w14:paraId="3A41343C" w14:textId="77777777" w:rsidR="0038231D" w:rsidRDefault="0038231D" w:rsidP="0038231D"/>
    <w:p w14:paraId="42ACB7C3" w14:textId="0EAEF656" w:rsidR="0007785F" w:rsidRDefault="007F07F9" w:rsidP="0038231D">
      <w:r>
        <w:t>In our understanding the</w:t>
      </w:r>
      <w:r w:rsidR="00305BFE">
        <w:t>re are no differing views in the group about the</w:t>
      </w:r>
      <w:r>
        <w:t xml:space="preserve"> UE </w:t>
      </w:r>
      <w:proofErr w:type="spellStart"/>
      <w:r>
        <w:t>behavior</w:t>
      </w:r>
      <w:proofErr w:type="spellEnd"/>
      <w:r>
        <w:t xml:space="preserve"> regarding the </w:t>
      </w:r>
      <w:r w:rsidR="00305BFE">
        <w:t xml:space="preserve">event evaluation and the </w:t>
      </w:r>
      <w:r>
        <w:t>measurement that triggers the event</w:t>
      </w:r>
      <w:r w:rsidR="00305BFE">
        <w:t xml:space="preserve"> after the condition becomes fulfilled. </w:t>
      </w:r>
      <w:r w:rsidR="006E551B">
        <w:t xml:space="preserve">Depending on when the condition becomes met over the air in relationship to the ongoing measurements, </w:t>
      </w:r>
      <w:r w:rsidR="00FB0FCC">
        <w:t xml:space="preserve">UE </w:t>
      </w:r>
      <w:r w:rsidR="006E551B">
        <w:t>may need</w:t>
      </w:r>
      <w:r w:rsidR="00FB0FCC">
        <w:t xml:space="preserve"> to measure either </w:t>
      </w:r>
      <w:r w:rsidR="006E551B">
        <w:t xml:space="preserve">serving cell/beam, candidate cell/beam, or both before it can realize the condition for reporting is fulfilled. </w:t>
      </w:r>
      <w:r w:rsidR="00AE5BEF">
        <w:t xml:space="preserve">UE shall trigger the report based on the </w:t>
      </w:r>
      <w:r w:rsidR="00F04CF8">
        <w:t xml:space="preserve">first measurement that indicates that the condition is fulfilled. </w:t>
      </w:r>
      <w:r w:rsidR="000F3755">
        <w:t xml:space="preserve">There do not seem to be differing views </w:t>
      </w:r>
      <w:r w:rsidR="00AE5BEF">
        <w:t>about</w:t>
      </w:r>
      <w:r w:rsidR="000F3755">
        <w:t xml:space="preserve"> this. </w:t>
      </w:r>
      <w:r w:rsidR="00EC0716">
        <w:t>Hence, the discussion is purely about how to capture the delay</w:t>
      </w:r>
      <w:r w:rsidR="00FB0FCC">
        <w:t>.</w:t>
      </w:r>
    </w:p>
    <w:p w14:paraId="20AE1815" w14:textId="2498A474" w:rsidR="00EC0716" w:rsidRDefault="00F04CF8" w:rsidP="0038231D">
      <w:r>
        <w:t>In our view</w:t>
      </w:r>
      <w:r w:rsidR="00931169">
        <w:t xml:space="preserve">, all the above scenarios can be covered by simply defining the delay based on the measurement that will trigger the report, let it then be serving or candidate cell measurement. If both measurements need to be performed, the delay is still the time until the measurement that triggers the delay. Therefore, we </w:t>
      </w:r>
      <w:r w:rsidR="00EC0716">
        <w:t xml:space="preserve">would propose to conclude the issue by defining the </w:t>
      </w:r>
      <w:r w:rsidR="00F667D3">
        <w:t xml:space="preserve">condition evaluation delay </w:t>
      </w:r>
      <w:r w:rsidR="009148DC">
        <w:t>as</w:t>
      </w:r>
      <w:r>
        <w:t>:</w:t>
      </w:r>
    </w:p>
    <w:p w14:paraId="6C04C4E7" w14:textId="5B48F9D8" w:rsidR="007F01F5" w:rsidRDefault="00BF3C0C" w:rsidP="00F667D3">
      <w:pPr>
        <w:pStyle w:val="RAN4proposal"/>
      </w:pPr>
      <w:bookmarkStart w:id="5" w:name="_Toc194055721"/>
      <w:r w:rsidRPr="00E16287">
        <w:rPr>
          <w:lang w:eastAsia="en-GB"/>
        </w:rPr>
        <w:t xml:space="preserve">The </w:t>
      </w:r>
      <w:r w:rsidR="000778BD">
        <w:rPr>
          <w:lang w:eastAsia="en-GB"/>
        </w:rPr>
        <w:t xml:space="preserve">SSB-based </w:t>
      </w:r>
      <w:r w:rsidRPr="00E16287">
        <w:rPr>
          <w:lang w:eastAsia="en-GB"/>
        </w:rPr>
        <w:t>event triggered measurement reporting delay</w:t>
      </w:r>
      <w:r>
        <w:rPr>
          <w:lang w:eastAsia="en-GB"/>
        </w:rPr>
        <w:t xml:space="preserve"> </w:t>
      </w:r>
      <w:r w:rsidRPr="00E16287">
        <w:rPr>
          <w:lang w:eastAsia="en-GB"/>
        </w:rPr>
        <w:t xml:space="preserve">shall be less than </w:t>
      </w:r>
      <w:r w:rsidR="005B6373">
        <w:t>T</w:t>
      </w:r>
      <w:r w:rsidR="005B6373">
        <w:rPr>
          <w:vertAlign w:val="subscript"/>
        </w:rPr>
        <w:t>L1-RSRP_Measurement_Period_SSB_intra</w:t>
      </w:r>
      <w:r w:rsidR="005B6373" w:rsidRPr="00E16287">
        <w:rPr>
          <w:lang w:eastAsia="en-GB"/>
        </w:rPr>
        <w:t xml:space="preserve"> </w:t>
      </w:r>
      <w:r w:rsidR="00CF49F7">
        <w:rPr>
          <w:lang w:eastAsia="en-GB"/>
        </w:rPr>
        <w:t xml:space="preserve">(clause </w:t>
      </w:r>
      <w:r w:rsidR="00CF49F7" w:rsidRPr="00B34784">
        <w:t>9.1</w:t>
      </w:r>
      <w:r w:rsidR="00CF49F7">
        <w:t>4</w:t>
      </w:r>
      <w:r w:rsidR="00CF49F7" w:rsidRPr="00B34784">
        <w:t>.5</w:t>
      </w:r>
      <w:r w:rsidR="00CF49F7">
        <w:t xml:space="preserve">) </w:t>
      </w:r>
      <w:r w:rsidRPr="00E16287">
        <w:rPr>
          <w:lang w:eastAsia="en-GB"/>
        </w:rPr>
        <w:t xml:space="preserve">or </w:t>
      </w:r>
      <w:r w:rsidR="00D77BA1" w:rsidRPr="00B34784">
        <w:rPr>
          <w:sz w:val="22"/>
        </w:rPr>
        <w:t>T</w:t>
      </w:r>
      <w:r w:rsidR="00D77BA1" w:rsidRPr="00B34784">
        <w:rPr>
          <w:sz w:val="22"/>
          <w:vertAlign w:val="subscript"/>
        </w:rPr>
        <w:t>L1-RSRP</w:t>
      </w:r>
      <w:r w:rsidR="00D77BA1" w:rsidRPr="00B34784">
        <w:rPr>
          <w:vertAlign w:val="subscript"/>
        </w:rPr>
        <w:t>_Measurement_Period_SSB_Inter</w:t>
      </w:r>
      <w:r w:rsidR="00CF49F7">
        <w:t xml:space="preserve"> (clause </w:t>
      </w:r>
      <w:r w:rsidR="00CF49F7" w:rsidRPr="00B34784">
        <w:t>9.15.5</w:t>
      </w:r>
      <w:r w:rsidR="00CF49F7">
        <w:t>)</w:t>
      </w:r>
      <w:r w:rsidR="00CF49F7">
        <w:rPr>
          <w:lang w:eastAsia="en-GB"/>
        </w:rPr>
        <w:t xml:space="preserve">, where </w:t>
      </w:r>
      <w:proofErr w:type="spellStart"/>
      <w:r w:rsidR="009D0391" w:rsidRPr="00B34784">
        <w:t>T</w:t>
      </w:r>
      <w:r w:rsidR="009D0391" w:rsidRPr="00B34784">
        <w:rPr>
          <w:vertAlign w:val="subscript"/>
        </w:rPr>
        <w:t>report</w:t>
      </w:r>
      <w:proofErr w:type="spellEnd"/>
      <w:r w:rsidR="009D0391">
        <w:t xml:space="preserve"> = 0 and </w:t>
      </w:r>
      <w:r w:rsidR="00D93CD8" w:rsidRPr="00B34784">
        <w:t>T</w:t>
      </w:r>
      <w:r w:rsidR="00D93CD8" w:rsidRPr="00B34784">
        <w:rPr>
          <w:vertAlign w:val="subscript"/>
        </w:rPr>
        <w:t>SSB_NBC</w:t>
      </w:r>
      <w:r w:rsidR="00D93CD8">
        <w:t xml:space="preserve"> is the periodicity of the </w:t>
      </w:r>
      <w:r w:rsidR="00877972">
        <w:t>(</w:t>
      </w:r>
      <w:r w:rsidR="00BB2806">
        <w:t xml:space="preserve">serving or </w:t>
      </w:r>
      <w:r w:rsidR="00192D7C">
        <w:t>candidate cell</w:t>
      </w:r>
      <w:r w:rsidR="00877972">
        <w:t>)</w:t>
      </w:r>
      <w:r w:rsidR="00BB2806">
        <w:t xml:space="preserve"> </w:t>
      </w:r>
      <w:r w:rsidR="003450DB">
        <w:t xml:space="preserve">SSB </w:t>
      </w:r>
      <w:r w:rsidR="00D93CD8">
        <w:t>that triggers the report</w:t>
      </w:r>
      <w:r w:rsidR="00BD04DD">
        <w:t>.</w:t>
      </w:r>
      <w:bookmarkEnd w:id="5"/>
      <w:r w:rsidR="00BD04DD">
        <w:t xml:space="preserve"> </w:t>
      </w:r>
    </w:p>
    <w:p w14:paraId="4B5F47D7" w14:textId="2C2B7595" w:rsidR="00F667D3" w:rsidRDefault="007F01F5" w:rsidP="00F667D3">
      <w:pPr>
        <w:pStyle w:val="RAN4proposal"/>
      </w:pPr>
      <w:bookmarkStart w:id="6" w:name="_Toc194055722"/>
      <w:r>
        <w:t>Approach of proposal 1</w:t>
      </w:r>
      <w:r w:rsidR="001636ED">
        <w:t xml:space="preserve"> can be followed for CSI-RS based event-triggered reporting delay</w:t>
      </w:r>
      <w:r>
        <w:t xml:space="preserve"> once the CSI-RS measurement requirements are concluded</w:t>
      </w:r>
      <w:r w:rsidR="001636ED">
        <w:t>.</w:t>
      </w:r>
      <w:bookmarkEnd w:id="6"/>
    </w:p>
    <w:p w14:paraId="3270E97B" w14:textId="70921236" w:rsidR="003837E8" w:rsidRDefault="007651FF" w:rsidP="002D1533">
      <w:r>
        <w:t xml:space="preserve">RAN4 can then consider in the test case discussion which of the </w:t>
      </w:r>
      <w:r w:rsidR="005720DA">
        <w:t>scenarios to test.</w:t>
      </w:r>
    </w:p>
    <w:p w14:paraId="1BC62DF9" w14:textId="278428DA" w:rsidR="002D1533" w:rsidRDefault="00321F21" w:rsidP="002D1533">
      <w:r>
        <w:t>For event-triggered periodic reporting, we propose to define the requirements similar as for L3 event-triggered periodic reporting</w:t>
      </w:r>
      <w:r w:rsidR="005720DA">
        <w:t xml:space="preserve"> i.e. by simply defining delay requirements for the first report, and for the following periodic reports just define the accuracy requirements</w:t>
      </w:r>
      <w:r>
        <w:t>:</w:t>
      </w:r>
    </w:p>
    <w:tbl>
      <w:tblPr>
        <w:tblStyle w:val="TableGrid"/>
        <w:tblW w:w="0" w:type="auto"/>
        <w:tblLook w:val="04A0" w:firstRow="1" w:lastRow="0" w:firstColumn="1" w:lastColumn="0" w:noHBand="0" w:noVBand="1"/>
      </w:tblPr>
      <w:tblGrid>
        <w:gridCol w:w="9617"/>
      </w:tblGrid>
      <w:tr w:rsidR="00321F21" w14:paraId="50311CE2" w14:textId="77777777" w:rsidTr="00321F21">
        <w:tc>
          <w:tcPr>
            <w:tcW w:w="9617" w:type="dxa"/>
          </w:tcPr>
          <w:p w14:paraId="2E139632" w14:textId="77777777" w:rsidR="00321F21" w:rsidRPr="00321F21" w:rsidRDefault="00321F21" w:rsidP="00321F2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2"/>
                <w:szCs w:val="18"/>
              </w:rPr>
            </w:pPr>
            <w:r w:rsidRPr="00321F21">
              <w:rPr>
                <w:rFonts w:ascii="Arial" w:eastAsia="Times New Roman" w:hAnsi="Arial" w:cs="Times New Roman"/>
                <w:sz w:val="22"/>
                <w:szCs w:val="18"/>
              </w:rPr>
              <w:t>9.2.4.2</w:t>
            </w:r>
            <w:r w:rsidRPr="00321F21">
              <w:rPr>
                <w:rFonts w:ascii="Arial" w:eastAsia="Times New Roman" w:hAnsi="Arial" w:cs="Times New Roman"/>
                <w:sz w:val="22"/>
                <w:szCs w:val="18"/>
              </w:rPr>
              <w:tab/>
              <w:t>Event-triggered Periodic Reporting</w:t>
            </w:r>
          </w:p>
          <w:p w14:paraId="4075CC0A" w14:textId="77777777" w:rsidR="00321F21" w:rsidRPr="00321F21" w:rsidRDefault="00321F21" w:rsidP="00321F21">
            <w:pPr>
              <w:overflowPunct w:val="0"/>
              <w:autoSpaceDE w:val="0"/>
              <w:autoSpaceDN w:val="0"/>
              <w:adjustRightInd w:val="0"/>
              <w:spacing w:after="180"/>
              <w:textAlignment w:val="baseline"/>
              <w:rPr>
                <w:rFonts w:eastAsia="Times New Roman" w:cs="v4.2.0"/>
                <w:sz w:val="18"/>
                <w:szCs w:val="18"/>
              </w:rPr>
            </w:pPr>
            <w:r w:rsidRPr="00321F21">
              <w:rPr>
                <w:rFonts w:eastAsia="Times New Roman" w:cs="v4.2.0"/>
                <w:sz w:val="18"/>
                <w:szCs w:val="18"/>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66406A0B" w14:textId="227FFD1B" w:rsidR="00321F21" w:rsidRPr="00321F21" w:rsidRDefault="00321F21" w:rsidP="00321F21">
            <w:pPr>
              <w:overflowPunct w:val="0"/>
              <w:autoSpaceDE w:val="0"/>
              <w:autoSpaceDN w:val="0"/>
              <w:adjustRightInd w:val="0"/>
              <w:spacing w:after="180"/>
              <w:textAlignment w:val="baseline"/>
              <w:rPr>
                <w:rFonts w:eastAsia="Times New Roman" w:cs="v4.2.0"/>
                <w:szCs w:val="20"/>
              </w:rPr>
            </w:pPr>
            <w:r w:rsidRPr="00321F21">
              <w:rPr>
                <w:rFonts w:eastAsia="Times New Roman" w:cs="v4.2.0"/>
                <w:sz w:val="18"/>
                <w:szCs w:val="18"/>
              </w:rPr>
              <w:t>The first report in event triggered periodic measurement reporting shall meet the requirements specified in clause </w:t>
            </w:r>
            <w:r w:rsidRPr="00321F21">
              <w:rPr>
                <w:rFonts w:eastAsia="Times New Roman" w:cs="Times New Roman"/>
                <w:sz w:val="18"/>
                <w:szCs w:val="18"/>
              </w:rPr>
              <w:t>9.2.4.3.</w:t>
            </w:r>
          </w:p>
        </w:tc>
      </w:tr>
    </w:tbl>
    <w:p w14:paraId="1E7D303F" w14:textId="77777777" w:rsidR="00321F21" w:rsidRPr="002D1533" w:rsidRDefault="00321F21" w:rsidP="002D1533"/>
    <w:p w14:paraId="50DFB600" w14:textId="00ED4179" w:rsidR="00161598" w:rsidRPr="00161598" w:rsidRDefault="00321F21" w:rsidP="00321F21">
      <w:pPr>
        <w:pStyle w:val="RAN4proposal"/>
      </w:pPr>
      <w:bookmarkStart w:id="7" w:name="_Toc194055723"/>
      <w:r>
        <w:t xml:space="preserve">For event-triggered periodic reporting, apply the event-triggered reporting </w:t>
      </w:r>
      <w:r w:rsidR="000F5D60">
        <w:t>requirements</w:t>
      </w:r>
      <w:r>
        <w:t xml:space="preserve"> for the first report, and for the following periodic reports simply </w:t>
      </w:r>
      <w:r w:rsidR="00E54739">
        <w:t>specify</w:t>
      </w:r>
      <w:r w:rsidR="006F3266">
        <w:t xml:space="preserve"> </w:t>
      </w:r>
      <w:r w:rsidR="00BD6B64">
        <w:t xml:space="preserve">the </w:t>
      </w:r>
      <w:r w:rsidR="006F3266">
        <w:t xml:space="preserve">measurement accuracy requirements the </w:t>
      </w:r>
      <w:r w:rsidR="00E54739">
        <w:t xml:space="preserve">reported </w:t>
      </w:r>
      <w:r w:rsidR="006F3266">
        <w:t>measurements shall fulfil</w:t>
      </w:r>
      <w:r w:rsidR="00E54739">
        <w:t xml:space="preserve"> (</w:t>
      </w:r>
      <w:proofErr w:type="gramStart"/>
      <w:r w:rsidR="00E54739">
        <w:t>similar to</w:t>
      </w:r>
      <w:proofErr w:type="gramEnd"/>
      <w:r w:rsidR="00E54739">
        <w:t xml:space="preserve"> L3 event-triggered periodic reporting)</w:t>
      </w:r>
      <w:r w:rsidR="006F3266">
        <w:t>.</w:t>
      </w:r>
      <w:bookmarkEnd w:id="7"/>
    </w:p>
    <w:p w14:paraId="57325EEC" w14:textId="24859F30" w:rsidR="0002775B" w:rsidRDefault="0002775B" w:rsidP="0002775B">
      <w:pPr>
        <w:pStyle w:val="RAN4H2"/>
      </w:pPr>
      <w:r>
        <w:t>Impact on other RRM requirements</w:t>
      </w:r>
    </w:p>
    <w:p w14:paraId="2DD1A15F" w14:textId="2EFE43A3" w:rsidR="00D95BF8" w:rsidRPr="00D95BF8" w:rsidRDefault="00D95BF8" w:rsidP="00D95BF8">
      <w:r>
        <w:t>In the last meeting RAN4 agreed the following about cell switch and TCI state activation delay requirement applicability when event-triggered L1 reporting is configured:</w:t>
      </w:r>
    </w:p>
    <w:tbl>
      <w:tblPr>
        <w:tblStyle w:val="TableGrid"/>
        <w:tblW w:w="0" w:type="auto"/>
        <w:tblLook w:val="04A0" w:firstRow="1" w:lastRow="0" w:firstColumn="1" w:lastColumn="0" w:noHBand="0" w:noVBand="1"/>
      </w:tblPr>
      <w:tblGrid>
        <w:gridCol w:w="9617"/>
      </w:tblGrid>
      <w:tr w:rsidR="00BA47B6" w14:paraId="01297F1B" w14:textId="77777777" w:rsidTr="004E6157">
        <w:tc>
          <w:tcPr>
            <w:tcW w:w="9617" w:type="dxa"/>
          </w:tcPr>
          <w:p w14:paraId="42EACD64" w14:textId="77777777" w:rsidR="000E15D5" w:rsidRPr="000E15D5" w:rsidRDefault="000E15D5" w:rsidP="000E15D5">
            <w:pPr>
              <w:rPr>
                <w:b/>
                <w:bCs/>
                <w:u w:val="single"/>
                <w:lang w:val="en-US"/>
              </w:rPr>
            </w:pPr>
            <w:r w:rsidRPr="000E15D5">
              <w:rPr>
                <w:b/>
                <w:bCs/>
                <w:u w:val="single"/>
                <w:lang w:val="en-US"/>
              </w:rPr>
              <w:t>Issue 2-10: Impact on other LTM requirements</w:t>
            </w:r>
          </w:p>
          <w:p w14:paraId="44D6547D" w14:textId="77777777" w:rsidR="000E15D5" w:rsidRPr="000E15D5" w:rsidRDefault="000E15D5" w:rsidP="000E15D5">
            <w:pPr>
              <w:rPr>
                <w:lang w:val="en-US"/>
              </w:rPr>
            </w:pPr>
            <w:r w:rsidRPr="000E15D5">
              <w:rPr>
                <w:b/>
                <w:bCs/>
                <w:lang w:val="en-US"/>
              </w:rPr>
              <w:t>Tentative agreement:</w:t>
            </w:r>
          </w:p>
          <w:p w14:paraId="6D740D1C" w14:textId="77777777" w:rsidR="000E15D5" w:rsidRPr="000E15D5" w:rsidRDefault="000E15D5" w:rsidP="000E15D5">
            <w:pPr>
              <w:numPr>
                <w:ilvl w:val="0"/>
                <w:numId w:val="35"/>
              </w:numPr>
              <w:rPr>
                <w:lang w:val="en-US"/>
              </w:rPr>
            </w:pPr>
            <w:r w:rsidRPr="000E15D5">
              <w:rPr>
                <w:lang w:val="en-US"/>
              </w:rPr>
              <w:t xml:space="preserve">UE has sent an event-triggered L1 </w:t>
            </w:r>
            <w:proofErr w:type="gramStart"/>
            <w:r w:rsidRPr="000E15D5">
              <w:rPr>
                <w:lang w:val="en-US"/>
              </w:rPr>
              <w:t>report</w:t>
            </w:r>
            <w:proofErr w:type="gramEnd"/>
            <w:r w:rsidRPr="000E15D5">
              <w:rPr>
                <w:lang w:val="en-US"/>
              </w:rPr>
              <w:t xml:space="preserve">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1827D2E0" w14:textId="77777777" w:rsidR="000E15D5" w:rsidRPr="000E15D5" w:rsidRDefault="000E15D5" w:rsidP="000E15D5">
            <w:pPr>
              <w:numPr>
                <w:ilvl w:val="1"/>
                <w:numId w:val="35"/>
              </w:numPr>
              <w:rPr>
                <w:lang w:val="en-US"/>
              </w:rPr>
            </w:pPr>
            <w:r w:rsidRPr="000E15D5">
              <w:rPr>
                <w:lang w:val="en-US"/>
              </w:rPr>
              <w:t>Further discuss how to capture this in RRM spec.</w:t>
            </w:r>
          </w:p>
          <w:p w14:paraId="4AD19DD6" w14:textId="77777777" w:rsidR="000E15D5" w:rsidRPr="000E15D5" w:rsidRDefault="000E15D5" w:rsidP="000E15D5">
            <w:pPr>
              <w:rPr>
                <w:lang w:val="en-US"/>
              </w:rPr>
            </w:pPr>
            <w:r w:rsidRPr="000E15D5">
              <w:rPr>
                <w:b/>
                <w:bCs/>
                <w:lang w:val="en-US"/>
              </w:rPr>
              <w:t>Other proposals for further discussion:</w:t>
            </w:r>
          </w:p>
          <w:p w14:paraId="66A0F900" w14:textId="77777777" w:rsidR="000E15D5" w:rsidRPr="000E15D5" w:rsidRDefault="000E15D5" w:rsidP="000E15D5">
            <w:pPr>
              <w:numPr>
                <w:ilvl w:val="0"/>
                <w:numId w:val="36"/>
              </w:numPr>
              <w:rPr>
                <w:lang w:val="en-US"/>
              </w:rPr>
            </w:pPr>
            <w:r w:rsidRPr="000E15D5">
              <w:rPr>
                <w:lang w:val="en-US"/>
              </w:rPr>
              <w:t>Proposal (Ericsson):    RAN4 to define TCI state known condition considering the L3 and L1 event triggered reporting.</w:t>
            </w:r>
          </w:p>
          <w:p w14:paraId="07B9E241" w14:textId="77777777" w:rsidR="00BA47B6" w:rsidRPr="000E15D5" w:rsidRDefault="00BA47B6" w:rsidP="004E6157">
            <w:pPr>
              <w:rPr>
                <w:lang w:val="en-US"/>
              </w:rPr>
            </w:pPr>
          </w:p>
        </w:tc>
      </w:tr>
    </w:tbl>
    <w:p w14:paraId="2FFDD7B9" w14:textId="77777777" w:rsidR="00BA47B6" w:rsidRDefault="00BA47B6" w:rsidP="00BA47B6"/>
    <w:p w14:paraId="1A816096" w14:textId="2F9914A1" w:rsidR="00D95BF8" w:rsidRDefault="00061445" w:rsidP="00BA47B6">
      <w:r>
        <w:t>How to capture this agreement and whether the known TCI state condition is to be updated remained open.</w:t>
      </w:r>
    </w:p>
    <w:p w14:paraId="77F81964" w14:textId="22CDE931" w:rsidR="00185B83" w:rsidRDefault="00185B83" w:rsidP="00BA47B6">
      <w:r>
        <w:lastRenderedPageBreak/>
        <w:t xml:space="preserve">The applicability of cell switch delay requirements is </w:t>
      </w:r>
      <w:r w:rsidR="00E52DD3">
        <w:t xml:space="preserve">according to the latest agreed CR </w:t>
      </w:r>
      <w:r w:rsidR="00E52DD3" w:rsidRPr="00E52DD3">
        <w:t>R4-2502620</w:t>
      </w:r>
      <w:r w:rsidR="00E52DD3">
        <w:t xml:space="preserve"> </w:t>
      </w:r>
      <w:r>
        <w:t>the following:</w:t>
      </w:r>
    </w:p>
    <w:tbl>
      <w:tblPr>
        <w:tblStyle w:val="TableGrid"/>
        <w:tblW w:w="0" w:type="auto"/>
        <w:tblLook w:val="04A0" w:firstRow="1" w:lastRow="0" w:firstColumn="1" w:lastColumn="0" w:noHBand="0" w:noVBand="1"/>
      </w:tblPr>
      <w:tblGrid>
        <w:gridCol w:w="9617"/>
      </w:tblGrid>
      <w:tr w:rsidR="002B0156" w14:paraId="4877532C" w14:textId="77777777" w:rsidTr="002B0156">
        <w:tc>
          <w:tcPr>
            <w:tcW w:w="9617" w:type="dxa"/>
          </w:tcPr>
          <w:p w14:paraId="42AC19CA" w14:textId="77777777" w:rsidR="002B0156" w:rsidRPr="002B0156" w:rsidRDefault="002B0156" w:rsidP="002B0156">
            <w:pPr>
              <w:spacing w:after="180"/>
              <w:rPr>
                <w:rFonts w:eastAsia="Malgun Gothic" w:cs="Times New Roman"/>
                <w:szCs w:val="20"/>
                <w:lang w:eastAsia="en-GB"/>
              </w:rPr>
            </w:pPr>
            <w:r w:rsidRPr="002B0156">
              <w:rPr>
                <w:rFonts w:eastAsia="Malgun Gothic" w:cs="Times New Roman"/>
                <w:szCs w:val="20"/>
                <w:lang w:eastAsia="en-GB"/>
              </w:rPr>
              <w:t xml:space="preserve">The requirements in this section apply when </w:t>
            </w:r>
          </w:p>
          <w:p w14:paraId="5F662DED" w14:textId="77777777" w:rsidR="002B0156" w:rsidRPr="002B0156" w:rsidRDefault="002B0156" w:rsidP="002B0156">
            <w:pPr>
              <w:spacing w:after="180"/>
              <w:ind w:left="568" w:hanging="284"/>
              <w:rPr>
                <w:rFonts w:eastAsia="Malgun Gothic" w:cs="Times New Roman"/>
                <w:szCs w:val="20"/>
                <w:lang w:eastAsia="en-GB"/>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Malgun Gothic" w:cs="Times New Roman"/>
                <w:szCs w:val="20"/>
                <w:lang w:eastAsia="en-GB"/>
              </w:rPr>
              <w:t xml:space="preserve">the target cell is known, and </w:t>
            </w:r>
          </w:p>
          <w:p w14:paraId="6DFCCB3D" w14:textId="77777777" w:rsidR="002B0156" w:rsidRPr="002B0156" w:rsidRDefault="002B0156" w:rsidP="002B0156">
            <w:pPr>
              <w:spacing w:after="180"/>
              <w:ind w:left="851" w:hanging="284"/>
              <w:rPr>
                <w:rFonts w:eastAsia="Malgun Gothic" w:cs="Times New Roman"/>
                <w:szCs w:val="20"/>
                <w:lang w:eastAsia="en-GB"/>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Malgun Gothic" w:cs="Times New Roman"/>
                <w:szCs w:val="20"/>
                <w:lang w:eastAsia="en-GB"/>
              </w:rPr>
              <w:t xml:space="preserve">the target joint UL/DL TCI state or separate UL and DL TCI states in the MAC-CE LTM cell switch command are known, or </w:t>
            </w:r>
          </w:p>
          <w:p w14:paraId="160DE3D1" w14:textId="2FC57DCC" w:rsidR="002B0156" w:rsidRPr="002B0156" w:rsidRDefault="002B0156" w:rsidP="002B0156">
            <w:pPr>
              <w:spacing w:after="180"/>
              <w:ind w:left="851" w:hanging="284"/>
              <w:rPr>
                <w:rFonts w:eastAsia="SimSun" w:cs="Times New Roman"/>
                <w:szCs w:val="20"/>
                <w:lang w:eastAsia="zh-CN"/>
              </w:rPr>
            </w:pPr>
            <w:r w:rsidRPr="002B0156">
              <w:rPr>
                <w:rFonts w:eastAsia="Malgun Gothic" w:cs="Times New Roman"/>
                <w:szCs w:val="20"/>
                <w:lang w:eastAsia="ko-KR"/>
              </w:rPr>
              <w:t>-</w:t>
            </w:r>
            <w:r w:rsidRPr="002B0156">
              <w:rPr>
                <w:rFonts w:eastAsia="Malgun Gothic" w:cs="Times New Roman"/>
                <w:szCs w:val="20"/>
                <w:lang w:eastAsia="ko-KR"/>
              </w:rPr>
              <w:tab/>
              <w:t xml:space="preserve">the </w:t>
            </w:r>
            <w:r w:rsidRPr="002B0156">
              <w:rPr>
                <w:rFonts w:eastAsia="Malgun Gothic" w:cs="Times New Roman"/>
                <w:szCs w:val="20"/>
                <w:lang w:eastAsia="en-GB"/>
              </w:rPr>
              <w:t xml:space="preserve">target cell is an FR1 cell, and the </w:t>
            </w:r>
            <w:r w:rsidRPr="002B0156">
              <w:rPr>
                <w:rFonts w:eastAsia="SimSun" w:cs="Times New Roman"/>
                <w:szCs w:val="20"/>
                <w:lang w:eastAsia="zh-CN"/>
              </w:rPr>
              <w:t xml:space="preserve">UE has reported L3-RSRP measurement result with SSB index associated to the target TCI state within 5 seconds before receiving the LTM cell switch command, and SNR of the SSB associated to the target TCI state ≥ -3dB, </w:t>
            </w:r>
          </w:p>
          <w:p w14:paraId="2DE977C2" w14:textId="77777777" w:rsidR="002B0156" w:rsidRPr="002B0156" w:rsidRDefault="002B0156" w:rsidP="002B0156">
            <w:pPr>
              <w:spacing w:after="180"/>
              <w:ind w:left="568" w:hanging="284"/>
              <w:rPr>
                <w:rFonts w:eastAsia="DengXian" w:cs="Times New Roman"/>
                <w:bCs/>
                <w:szCs w:val="20"/>
                <w:lang w:val="en-US" w:eastAsia="zh-CN"/>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DengXian" w:cs="Times New Roman"/>
                <w:bCs/>
                <w:szCs w:val="20"/>
                <w:lang w:val="en-US" w:eastAsia="zh-CN"/>
              </w:rPr>
              <w:t xml:space="preserve">PL-RS is </w:t>
            </w:r>
            <w:proofErr w:type="spellStart"/>
            <w:r w:rsidRPr="002B0156">
              <w:rPr>
                <w:rFonts w:eastAsia="DengXian" w:cs="Times New Roman"/>
                <w:bCs/>
                <w:szCs w:val="20"/>
                <w:lang w:val="en-US" w:eastAsia="zh-CN"/>
              </w:rPr>
              <w:t>QCLed</w:t>
            </w:r>
            <w:proofErr w:type="spellEnd"/>
            <w:r w:rsidRPr="002B0156">
              <w:rPr>
                <w:rFonts w:eastAsia="DengXian" w:cs="Times New Roman"/>
                <w:bCs/>
                <w:szCs w:val="20"/>
                <w:lang w:val="en-US" w:eastAsia="zh-CN"/>
              </w:rPr>
              <w:t xml:space="preserve"> with RS of the TCI state indicated by LTM cell switch command, and</w:t>
            </w:r>
          </w:p>
          <w:p w14:paraId="70A4151B" w14:textId="77777777" w:rsidR="002B0156" w:rsidRPr="002B0156" w:rsidRDefault="002B0156" w:rsidP="002B0156">
            <w:pPr>
              <w:spacing w:after="180"/>
              <w:ind w:left="568" w:hanging="284"/>
              <w:rPr>
                <w:rFonts w:eastAsia="DengXian" w:cs="Times New Roman"/>
                <w:bCs/>
                <w:szCs w:val="20"/>
                <w:lang w:val="en-US" w:eastAsia="zh-CN"/>
              </w:rPr>
            </w:pPr>
            <w:r w:rsidRPr="002B0156">
              <w:rPr>
                <w:rFonts w:eastAsia="Malgun Gothic" w:cs="Times New Roman"/>
                <w:szCs w:val="20"/>
                <w:lang w:eastAsia="ko-KR"/>
              </w:rPr>
              <w:t>-</w:t>
            </w:r>
            <w:r w:rsidRPr="002B0156">
              <w:rPr>
                <w:rFonts w:eastAsia="Malgun Gothic" w:cs="Times New Roman"/>
                <w:szCs w:val="20"/>
                <w:lang w:eastAsia="ko-KR"/>
              </w:rPr>
              <w:tab/>
              <w:t xml:space="preserve">For CFRA cell switch, </w:t>
            </w:r>
            <w:r w:rsidRPr="002B0156">
              <w:rPr>
                <w:rFonts w:eastAsia="DengXian" w:cs="Times New Roman"/>
                <w:bCs/>
                <w:szCs w:val="20"/>
                <w:lang w:val="en-US" w:eastAsia="zh-CN"/>
              </w:rPr>
              <w:t xml:space="preserve">RS of the TCI state indicated by LTM cell switch command is </w:t>
            </w:r>
            <w:proofErr w:type="spellStart"/>
            <w:r w:rsidRPr="002B0156">
              <w:rPr>
                <w:rFonts w:eastAsia="DengXian" w:cs="Times New Roman"/>
                <w:bCs/>
                <w:szCs w:val="20"/>
                <w:lang w:val="en-US" w:eastAsia="zh-CN"/>
              </w:rPr>
              <w:t>QCLed</w:t>
            </w:r>
            <w:proofErr w:type="spellEnd"/>
            <w:r w:rsidRPr="002B0156">
              <w:rPr>
                <w:rFonts w:eastAsia="DengXian" w:cs="Times New Roman"/>
                <w:bCs/>
                <w:szCs w:val="20"/>
                <w:lang w:val="en-US" w:eastAsia="zh-CN"/>
              </w:rPr>
              <w:t xml:space="preserve"> with the SSB indicated for CFRA.</w:t>
            </w:r>
          </w:p>
          <w:p w14:paraId="741443BB" w14:textId="77777777" w:rsidR="002B0156" w:rsidRPr="002B0156" w:rsidRDefault="002B0156" w:rsidP="00BA47B6">
            <w:pPr>
              <w:rPr>
                <w:lang w:val="en-US"/>
              </w:rPr>
            </w:pPr>
          </w:p>
        </w:tc>
      </w:tr>
    </w:tbl>
    <w:p w14:paraId="32F00BFA" w14:textId="77777777" w:rsidR="00185B83" w:rsidRDefault="00185B83" w:rsidP="00BA47B6"/>
    <w:p w14:paraId="5D4A0D12" w14:textId="7DC958F0" w:rsidR="00185B83" w:rsidRDefault="00185B83" w:rsidP="00BA47B6">
      <w:r>
        <w:t xml:space="preserve">The applicability of TCI state activation delay requirements according to the CR </w:t>
      </w:r>
      <w:r w:rsidR="00F46280" w:rsidRPr="00F46280">
        <w:t xml:space="preserve">R4-2502622 </w:t>
      </w:r>
      <w:r>
        <w:t>agreed in the last meeting is:</w:t>
      </w:r>
    </w:p>
    <w:tbl>
      <w:tblPr>
        <w:tblStyle w:val="TableGrid"/>
        <w:tblW w:w="0" w:type="auto"/>
        <w:tblLook w:val="04A0" w:firstRow="1" w:lastRow="0" w:firstColumn="1" w:lastColumn="0" w:noHBand="0" w:noVBand="1"/>
      </w:tblPr>
      <w:tblGrid>
        <w:gridCol w:w="9617"/>
      </w:tblGrid>
      <w:tr w:rsidR="00185B83" w14:paraId="5C7358F7" w14:textId="77777777" w:rsidTr="00185B83">
        <w:tc>
          <w:tcPr>
            <w:tcW w:w="9617" w:type="dxa"/>
          </w:tcPr>
          <w:p w14:paraId="7C731DE4" w14:textId="77777777" w:rsidR="00185B83" w:rsidRPr="007E2DB5" w:rsidRDefault="00185B83" w:rsidP="00185B83">
            <w:pPr>
              <w:overflowPunct w:val="0"/>
              <w:autoSpaceDE w:val="0"/>
              <w:autoSpaceDN w:val="0"/>
              <w:adjustRightInd w:val="0"/>
              <w:jc w:val="both"/>
              <w:textAlignment w:val="baseline"/>
              <w:rPr>
                <w:rFonts w:eastAsia="Malgun Gothic"/>
                <w:lang w:eastAsia="zh-CN"/>
              </w:rPr>
            </w:pPr>
            <w:r w:rsidRPr="007E2DB5">
              <w:rPr>
                <w:lang w:eastAsia="zh-CN"/>
              </w:rPr>
              <w:t>The requirements in this clause apply for</w:t>
            </w:r>
          </w:p>
          <w:p w14:paraId="674EB321" w14:textId="77777777" w:rsidR="00185B83" w:rsidRPr="007E2DB5" w:rsidRDefault="00185B83" w:rsidP="00185B83">
            <w:pPr>
              <w:overflowPunct w:val="0"/>
              <w:autoSpaceDE w:val="0"/>
              <w:autoSpaceDN w:val="0"/>
              <w:adjustRightInd w:val="0"/>
              <w:ind w:left="568" w:hanging="284"/>
              <w:textAlignment w:val="baseline"/>
              <w:rPr>
                <w:lang w:val="en-US" w:eastAsia="zh-CN"/>
              </w:rPr>
            </w:pPr>
            <w:r w:rsidRPr="007E2DB5">
              <w:rPr>
                <w:lang w:eastAsia="zh-CN"/>
              </w:rPr>
              <w:t>-</w:t>
            </w:r>
            <w:r w:rsidRPr="007E2DB5">
              <w:rPr>
                <w:lang w:eastAsia="zh-CN"/>
              </w:rPr>
              <w:tab/>
            </w:r>
            <w:r w:rsidRPr="007E2DB5">
              <w:rPr>
                <w:lang w:val="en-US" w:eastAsia="zh-CN"/>
              </w:rPr>
              <w:t xml:space="preserve">Known </w:t>
            </w:r>
            <w:r>
              <w:rPr>
                <w:lang w:val="en-US" w:eastAsia="zh-CN"/>
              </w:rPr>
              <w:t xml:space="preserve">downlink </w:t>
            </w:r>
            <w:r w:rsidRPr="007E2DB5">
              <w:rPr>
                <w:lang w:val="en-US" w:eastAsia="zh-CN"/>
              </w:rPr>
              <w:t xml:space="preserve">TCI state in FR1 and FR2 specified in </w:t>
            </w:r>
            <w:r w:rsidRPr="007E2DB5">
              <w:rPr>
                <w:lang w:eastAsia="en-GB"/>
              </w:rPr>
              <w:t>clause 8.25.2</w:t>
            </w:r>
            <w:r w:rsidRPr="007E2DB5">
              <w:rPr>
                <w:lang w:val="en-US" w:eastAsia="zh-CN"/>
              </w:rPr>
              <w:t xml:space="preserve">, and </w:t>
            </w:r>
          </w:p>
          <w:p w14:paraId="513AEA34" w14:textId="77777777" w:rsidR="00185B83" w:rsidRPr="007E2DB5" w:rsidRDefault="00185B83" w:rsidP="00185B83">
            <w:pPr>
              <w:overflowPunct w:val="0"/>
              <w:autoSpaceDE w:val="0"/>
              <w:autoSpaceDN w:val="0"/>
              <w:adjustRightInd w:val="0"/>
              <w:ind w:left="568" w:hanging="284"/>
              <w:textAlignment w:val="baseline"/>
              <w:rPr>
                <w:lang w:eastAsia="zh-CN"/>
              </w:rPr>
            </w:pPr>
            <w:r w:rsidRPr="007E2DB5">
              <w:rPr>
                <w:lang w:eastAsia="zh-CN"/>
              </w:rPr>
              <w:t>-</w:t>
            </w:r>
            <w:r w:rsidRPr="007E2DB5">
              <w:rPr>
                <w:lang w:eastAsia="zh-CN"/>
              </w:rPr>
              <w:tab/>
            </w:r>
            <w:r w:rsidRPr="007E2DB5">
              <w:rPr>
                <w:lang w:val="en-US" w:eastAsia="zh-CN"/>
              </w:rPr>
              <w:t xml:space="preserve">Unknown </w:t>
            </w:r>
            <w:r>
              <w:rPr>
                <w:lang w:val="en-US" w:eastAsia="zh-CN"/>
              </w:rPr>
              <w:t xml:space="preserve">downlink </w:t>
            </w:r>
            <w:r w:rsidRPr="007E2DB5">
              <w:rPr>
                <w:lang w:val="en-US" w:eastAsia="zh-CN"/>
              </w:rPr>
              <w:t xml:space="preserve">TCI state in FR1 specified in </w:t>
            </w:r>
            <w:r w:rsidRPr="007E2DB5">
              <w:rPr>
                <w:lang w:eastAsia="en-GB"/>
              </w:rPr>
              <w:t>clause 8.25.2</w:t>
            </w:r>
            <w:r w:rsidRPr="007E2DB5">
              <w:rPr>
                <w:lang w:val="en-US" w:eastAsia="zh-CN"/>
              </w:rPr>
              <w:t xml:space="preserve">, </w:t>
            </w:r>
            <w:r w:rsidRPr="007E2DB5">
              <w:rPr>
                <w:bCs/>
                <w:lang w:val="en-US" w:eastAsia="en-GB"/>
              </w:rPr>
              <w:t>provided the following conditions are met:</w:t>
            </w:r>
          </w:p>
          <w:p w14:paraId="5C37B856" w14:textId="77777777" w:rsidR="00185B83" w:rsidRPr="007E2DB5" w:rsidRDefault="00185B83" w:rsidP="00185B83">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UE has reported L3 measurement result with the associated SSB index of the </w:t>
            </w:r>
            <w:r>
              <w:rPr>
                <w:lang w:eastAsia="zh-CN"/>
              </w:rPr>
              <w:t xml:space="preserve">downlink </w:t>
            </w:r>
            <w:r w:rsidRPr="007E2DB5">
              <w:rPr>
                <w:lang w:eastAsia="zh-CN"/>
              </w:rPr>
              <w:t>TCI state within 5 seconds before the LTM TCI state activation command.</w:t>
            </w:r>
          </w:p>
          <w:p w14:paraId="60A7A736" w14:textId="77777777" w:rsidR="00185B83" w:rsidRPr="007E2DB5" w:rsidRDefault="00185B83" w:rsidP="00185B83">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SNR of the associated SSB is above -3 </w:t>
            </w:r>
            <w:proofErr w:type="spellStart"/>
            <w:r w:rsidRPr="007E2DB5">
              <w:rPr>
                <w:lang w:eastAsia="zh-CN"/>
              </w:rPr>
              <w:t>dB.</w:t>
            </w:r>
            <w:proofErr w:type="spellEnd"/>
          </w:p>
          <w:p w14:paraId="1871AFD6" w14:textId="77777777" w:rsidR="00185B83" w:rsidRDefault="00185B83" w:rsidP="00BA47B6"/>
        </w:tc>
      </w:tr>
    </w:tbl>
    <w:p w14:paraId="187D9D3C" w14:textId="77777777" w:rsidR="00185B83" w:rsidRDefault="00185B83" w:rsidP="00BA47B6"/>
    <w:p w14:paraId="7396AD5E" w14:textId="35279B25" w:rsidR="006D35AA" w:rsidRDefault="006D35AA" w:rsidP="00BA47B6">
      <w:r>
        <w:t>Regarding the agreement that was made</w:t>
      </w:r>
      <w:r w:rsidR="00AB7412">
        <w:t xml:space="preserve"> in the last meeting</w:t>
      </w:r>
      <w:r>
        <w:t>, we do not think known TCI state condition needs to be changed. Th</w:t>
      </w:r>
      <w:r w:rsidR="002161A4">
        <w:t>e existing conditions</w:t>
      </w:r>
      <w:r>
        <w:t xml:space="preserve"> can continue to apply as it </w:t>
      </w:r>
      <w:r w:rsidR="002161A4">
        <w:t>was</w:t>
      </w:r>
      <w:r>
        <w:t xml:space="preserve"> earlier </w:t>
      </w:r>
      <w:r w:rsidR="00AB7412">
        <w:t>indicated by some companies that the conditions should be the same throughout the specification</w:t>
      </w:r>
      <w:r w:rsidR="002161A4">
        <w:t xml:space="preserve">, which is why the L3-condition was also captured separately. </w:t>
      </w:r>
      <w:r w:rsidR="00312B82">
        <w:t>We would propose to follow the same approach for the new requirement, which should be added on top of the other conditions</w:t>
      </w:r>
      <w:r w:rsidR="00356487">
        <w:t>.</w:t>
      </w:r>
    </w:p>
    <w:p w14:paraId="4ACA7A23" w14:textId="11B7F3DE" w:rsidR="00356487" w:rsidRDefault="00356487" w:rsidP="00BA47B6">
      <w:r>
        <w:t>For example, for cell switch delay applicability:</w:t>
      </w:r>
    </w:p>
    <w:tbl>
      <w:tblPr>
        <w:tblStyle w:val="TableGrid"/>
        <w:tblW w:w="0" w:type="auto"/>
        <w:tblLook w:val="04A0" w:firstRow="1" w:lastRow="0" w:firstColumn="1" w:lastColumn="0" w:noHBand="0" w:noVBand="1"/>
      </w:tblPr>
      <w:tblGrid>
        <w:gridCol w:w="9617"/>
      </w:tblGrid>
      <w:tr w:rsidR="00385172" w14:paraId="50F1B3C5" w14:textId="77777777" w:rsidTr="00385172">
        <w:tc>
          <w:tcPr>
            <w:tcW w:w="9617" w:type="dxa"/>
          </w:tcPr>
          <w:p w14:paraId="3D9B8AF3" w14:textId="77777777" w:rsidR="00385172" w:rsidRPr="002B0156" w:rsidRDefault="00385172" w:rsidP="00385172">
            <w:pPr>
              <w:spacing w:after="180"/>
              <w:ind w:left="284"/>
              <w:rPr>
                <w:rFonts w:eastAsia="Malgun Gothic" w:cs="Times New Roman"/>
                <w:szCs w:val="20"/>
                <w:lang w:eastAsia="en-GB"/>
              </w:rPr>
            </w:pPr>
            <w:r w:rsidRPr="002B0156">
              <w:rPr>
                <w:rFonts w:eastAsia="Malgun Gothic" w:cs="Times New Roman"/>
                <w:szCs w:val="20"/>
                <w:lang w:eastAsia="en-GB"/>
              </w:rPr>
              <w:t xml:space="preserve">The requirements in this section apply when </w:t>
            </w:r>
          </w:p>
          <w:p w14:paraId="132E7242" w14:textId="77777777" w:rsidR="00385172" w:rsidRPr="002B0156" w:rsidRDefault="00385172" w:rsidP="00385172">
            <w:pPr>
              <w:spacing w:after="180"/>
              <w:ind w:left="852" w:hanging="284"/>
              <w:rPr>
                <w:rFonts w:eastAsia="Malgun Gothic" w:cs="Times New Roman"/>
                <w:szCs w:val="20"/>
                <w:lang w:eastAsia="en-GB"/>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Malgun Gothic" w:cs="Times New Roman"/>
                <w:szCs w:val="20"/>
                <w:lang w:eastAsia="en-GB"/>
              </w:rPr>
              <w:t xml:space="preserve">the target cell is known, and </w:t>
            </w:r>
          </w:p>
          <w:p w14:paraId="77E2099E" w14:textId="77777777" w:rsidR="00385172" w:rsidRPr="002B0156" w:rsidRDefault="00385172" w:rsidP="00385172">
            <w:pPr>
              <w:spacing w:after="180"/>
              <w:ind w:left="1135" w:hanging="284"/>
              <w:rPr>
                <w:rFonts w:eastAsia="Malgun Gothic" w:cs="Times New Roman"/>
                <w:szCs w:val="20"/>
                <w:lang w:eastAsia="en-GB"/>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Malgun Gothic" w:cs="Times New Roman"/>
                <w:szCs w:val="20"/>
                <w:lang w:eastAsia="en-GB"/>
              </w:rPr>
              <w:t xml:space="preserve">the target joint UL/DL TCI state or separate UL and DL TCI states in the MAC-CE LTM cell switch command are known, or </w:t>
            </w:r>
          </w:p>
          <w:p w14:paraId="3597E2B8" w14:textId="77777777" w:rsidR="00385172" w:rsidRDefault="00385172" w:rsidP="00385172">
            <w:pPr>
              <w:spacing w:after="180"/>
              <w:ind w:left="1135" w:hanging="284"/>
              <w:rPr>
                <w:rFonts w:eastAsia="SimSun" w:cs="Times New Roman"/>
                <w:color w:val="FF0000"/>
                <w:szCs w:val="20"/>
                <w:lang w:eastAsia="zh-CN"/>
              </w:rPr>
            </w:pPr>
            <w:r w:rsidRPr="002B0156">
              <w:rPr>
                <w:rFonts w:eastAsia="Malgun Gothic" w:cs="Times New Roman"/>
                <w:szCs w:val="20"/>
                <w:lang w:eastAsia="ko-KR"/>
              </w:rPr>
              <w:t>-</w:t>
            </w:r>
            <w:r w:rsidRPr="002B0156">
              <w:rPr>
                <w:rFonts w:eastAsia="Malgun Gothic" w:cs="Times New Roman"/>
                <w:szCs w:val="20"/>
                <w:lang w:eastAsia="ko-KR"/>
              </w:rPr>
              <w:tab/>
              <w:t xml:space="preserve">the </w:t>
            </w:r>
            <w:r w:rsidRPr="002B0156">
              <w:rPr>
                <w:rFonts w:eastAsia="Malgun Gothic" w:cs="Times New Roman"/>
                <w:szCs w:val="20"/>
                <w:lang w:eastAsia="en-GB"/>
              </w:rPr>
              <w:t xml:space="preserve">target cell is an FR1 cell, and the </w:t>
            </w:r>
            <w:r w:rsidRPr="002B0156">
              <w:rPr>
                <w:rFonts w:eastAsia="SimSun" w:cs="Times New Roman"/>
                <w:szCs w:val="20"/>
                <w:lang w:eastAsia="zh-CN"/>
              </w:rPr>
              <w:t>UE has reported L3-RSRP measurement result with SSB index associated to the target TCI state within 5 seconds before receiving the LTM cell switch command, and SNR of the SSB associated to the target TCI state ≥ -3dB,</w:t>
            </w:r>
            <w:r>
              <w:rPr>
                <w:rFonts w:eastAsia="SimSun" w:cs="Times New Roman"/>
                <w:szCs w:val="20"/>
                <w:lang w:eastAsia="zh-CN"/>
              </w:rPr>
              <w:t xml:space="preserve"> </w:t>
            </w:r>
            <w:r>
              <w:rPr>
                <w:rFonts w:eastAsia="SimSun" w:cs="Times New Roman"/>
                <w:color w:val="FF0000"/>
                <w:szCs w:val="20"/>
                <w:lang w:eastAsia="zh-CN"/>
              </w:rPr>
              <w:t>or</w:t>
            </w:r>
          </w:p>
          <w:p w14:paraId="1EE16B1D" w14:textId="77777777" w:rsidR="00385172" w:rsidRPr="002B0156" w:rsidRDefault="00385172" w:rsidP="00385172">
            <w:pPr>
              <w:spacing w:after="180"/>
              <w:ind w:left="1135" w:hanging="284"/>
              <w:rPr>
                <w:rFonts w:eastAsia="SimSun" w:cs="Times New Roman"/>
                <w:szCs w:val="20"/>
                <w:lang w:eastAsia="zh-CN"/>
              </w:rPr>
            </w:pPr>
            <w:r w:rsidRPr="002B0156">
              <w:rPr>
                <w:rFonts w:eastAsia="Malgun Gothic" w:cs="Times New Roman"/>
                <w:color w:val="FF0000"/>
                <w:szCs w:val="20"/>
                <w:lang w:eastAsia="ko-KR"/>
              </w:rPr>
              <w:t>-</w:t>
            </w:r>
            <w:r w:rsidRPr="002B0156">
              <w:rPr>
                <w:rFonts w:eastAsia="Malgun Gothic" w:cs="Times New Roman"/>
                <w:color w:val="FF0000"/>
                <w:szCs w:val="20"/>
                <w:lang w:eastAsia="ko-KR"/>
              </w:rPr>
              <w:tab/>
            </w:r>
            <w:r>
              <w:rPr>
                <w:rFonts w:eastAsia="SimSun" w:cs="Times New Roman"/>
                <w:color w:val="FF0000"/>
                <w:szCs w:val="20"/>
                <w:lang w:eastAsia="zh-CN"/>
              </w:rPr>
              <w:t>the UE has sent event-triggered L1 measurement report for RS associated to the target TCI state before receiving the LTM cell switch command, and the reporting condition continues to be fulfilled at the time of reception of the cell switch command, and</w:t>
            </w:r>
            <w:r w:rsidRPr="002B0156">
              <w:rPr>
                <w:rFonts w:eastAsia="SimSun" w:cs="Times New Roman"/>
                <w:szCs w:val="20"/>
                <w:lang w:eastAsia="zh-CN"/>
              </w:rPr>
              <w:t xml:space="preserve"> </w:t>
            </w:r>
          </w:p>
          <w:p w14:paraId="48D6E8D6" w14:textId="77777777" w:rsidR="00385172" w:rsidRPr="002B0156" w:rsidRDefault="00385172" w:rsidP="00385172">
            <w:pPr>
              <w:spacing w:after="180"/>
              <w:ind w:left="852" w:hanging="284"/>
              <w:rPr>
                <w:rFonts w:eastAsia="DengXian" w:cs="Times New Roman"/>
                <w:bCs/>
                <w:szCs w:val="20"/>
                <w:lang w:val="en-US" w:eastAsia="zh-CN"/>
              </w:rPr>
            </w:pPr>
            <w:r w:rsidRPr="002B0156">
              <w:rPr>
                <w:rFonts w:eastAsia="Malgun Gothic" w:cs="Times New Roman"/>
                <w:szCs w:val="20"/>
                <w:lang w:eastAsia="ko-KR"/>
              </w:rPr>
              <w:t>-</w:t>
            </w:r>
            <w:r w:rsidRPr="002B0156">
              <w:rPr>
                <w:rFonts w:eastAsia="Malgun Gothic" w:cs="Times New Roman"/>
                <w:szCs w:val="20"/>
                <w:lang w:eastAsia="ko-KR"/>
              </w:rPr>
              <w:tab/>
            </w:r>
            <w:r w:rsidRPr="002B0156">
              <w:rPr>
                <w:rFonts w:eastAsia="DengXian" w:cs="Times New Roman"/>
                <w:bCs/>
                <w:szCs w:val="20"/>
                <w:lang w:val="en-US" w:eastAsia="zh-CN"/>
              </w:rPr>
              <w:t xml:space="preserve">PL-RS is </w:t>
            </w:r>
            <w:proofErr w:type="spellStart"/>
            <w:r w:rsidRPr="002B0156">
              <w:rPr>
                <w:rFonts w:eastAsia="DengXian" w:cs="Times New Roman"/>
                <w:bCs/>
                <w:szCs w:val="20"/>
                <w:lang w:val="en-US" w:eastAsia="zh-CN"/>
              </w:rPr>
              <w:t>QCLed</w:t>
            </w:r>
            <w:proofErr w:type="spellEnd"/>
            <w:r w:rsidRPr="002B0156">
              <w:rPr>
                <w:rFonts w:eastAsia="DengXian" w:cs="Times New Roman"/>
                <w:bCs/>
                <w:szCs w:val="20"/>
                <w:lang w:val="en-US" w:eastAsia="zh-CN"/>
              </w:rPr>
              <w:t xml:space="preserve"> with RS of the TCI state indicated by LTM cell switch command, and</w:t>
            </w:r>
          </w:p>
          <w:p w14:paraId="77AF4782" w14:textId="77777777" w:rsidR="00385172" w:rsidRPr="002B0156" w:rsidRDefault="00385172" w:rsidP="00385172">
            <w:pPr>
              <w:spacing w:after="180"/>
              <w:ind w:left="852" w:hanging="284"/>
              <w:rPr>
                <w:rFonts w:eastAsia="DengXian" w:cs="Times New Roman"/>
                <w:bCs/>
                <w:szCs w:val="20"/>
                <w:lang w:val="en-US" w:eastAsia="zh-CN"/>
              </w:rPr>
            </w:pPr>
            <w:r w:rsidRPr="002B0156">
              <w:rPr>
                <w:rFonts w:eastAsia="Malgun Gothic" w:cs="Times New Roman"/>
                <w:szCs w:val="20"/>
                <w:lang w:eastAsia="ko-KR"/>
              </w:rPr>
              <w:t>-</w:t>
            </w:r>
            <w:r w:rsidRPr="002B0156">
              <w:rPr>
                <w:rFonts w:eastAsia="Malgun Gothic" w:cs="Times New Roman"/>
                <w:szCs w:val="20"/>
                <w:lang w:eastAsia="ko-KR"/>
              </w:rPr>
              <w:tab/>
              <w:t xml:space="preserve">For CFRA cell switch, </w:t>
            </w:r>
            <w:r w:rsidRPr="002B0156">
              <w:rPr>
                <w:rFonts w:eastAsia="DengXian" w:cs="Times New Roman"/>
                <w:bCs/>
                <w:szCs w:val="20"/>
                <w:lang w:val="en-US" w:eastAsia="zh-CN"/>
              </w:rPr>
              <w:t xml:space="preserve">RS of the TCI state indicated by LTM cell switch command is </w:t>
            </w:r>
            <w:proofErr w:type="spellStart"/>
            <w:r w:rsidRPr="002B0156">
              <w:rPr>
                <w:rFonts w:eastAsia="DengXian" w:cs="Times New Roman"/>
                <w:bCs/>
                <w:szCs w:val="20"/>
                <w:lang w:val="en-US" w:eastAsia="zh-CN"/>
              </w:rPr>
              <w:t>QCLed</w:t>
            </w:r>
            <w:proofErr w:type="spellEnd"/>
            <w:r w:rsidRPr="002B0156">
              <w:rPr>
                <w:rFonts w:eastAsia="DengXian" w:cs="Times New Roman"/>
                <w:bCs/>
                <w:szCs w:val="20"/>
                <w:lang w:val="en-US" w:eastAsia="zh-CN"/>
              </w:rPr>
              <w:t xml:space="preserve"> with the SSB indicated for CFRA.</w:t>
            </w:r>
          </w:p>
          <w:p w14:paraId="7F789B7B" w14:textId="77777777" w:rsidR="00385172" w:rsidRPr="00385172" w:rsidRDefault="00385172" w:rsidP="00BA47B6">
            <w:pPr>
              <w:rPr>
                <w:lang w:val="en-US"/>
              </w:rPr>
            </w:pPr>
          </w:p>
        </w:tc>
      </w:tr>
    </w:tbl>
    <w:p w14:paraId="022FD11D" w14:textId="77777777" w:rsidR="00385172" w:rsidRDefault="00385172" w:rsidP="00BA47B6"/>
    <w:p w14:paraId="554F2A6E" w14:textId="47A78F43" w:rsidR="00356487" w:rsidRDefault="00F770F5" w:rsidP="00BA47B6">
      <w:pPr>
        <w:rPr>
          <w:lang w:val="en-US"/>
        </w:rPr>
      </w:pPr>
      <w:r>
        <w:rPr>
          <w:lang w:val="en-US"/>
        </w:rPr>
        <w:lastRenderedPageBreak/>
        <w:t xml:space="preserve">Whether the leave condition that is now in brackets </w:t>
      </w:r>
      <w:r w:rsidR="007E6D23">
        <w:rPr>
          <w:lang w:val="en-US"/>
        </w:rPr>
        <w:t xml:space="preserve">in the agreement </w:t>
      </w:r>
      <w:r w:rsidR="006C5089">
        <w:rPr>
          <w:lang w:val="en-US"/>
        </w:rPr>
        <w:t xml:space="preserve">needs to be specifically mentioned is a matter of taste in our view. “Condition continues to be fulfilled” in our view covers also this part, but if </w:t>
      </w:r>
      <w:r w:rsidR="00A6223D">
        <w:rPr>
          <w:lang w:val="en-US"/>
        </w:rPr>
        <w:t>some</w:t>
      </w:r>
      <w:r w:rsidR="00CC032D">
        <w:rPr>
          <w:lang w:val="en-US"/>
        </w:rPr>
        <w:t xml:space="preserve"> companies prefer to specifically mention the leave report</w:t>
      </w:r>
      <w:r w:rsidR="007E6D23">
        <w:rPr>
          <w:lang w:val="en-US"/>
        </w:rPr>
        <w:t>/condition</w:t>
      </w:r>
      <w:r w:rsidR="00CC032D">
        <w:rPr>
          <w:lang w:val="en-US"/>
        </w:rPr>
        <w:t xml:space="preserve">, this is also </w:t>
      </w:r>
      <w:r w:rsidR="00452D52">
        <w:rPr>
          <w:lang w:val="en-US"/>
        </w:rPr>
        <w:t>acceptable</w:t>
      </w:r>
      <w:r w:rsidR="00CC032D">
        <w:rPr>
          <w:lang w:val="en-US"/>
        </w:rPr>
        <w:t xml:space="preserve"> </w:t>
      </w:r>
      <w:r w:rsidR="00452D52">
        <w:rPr>
          <w:lang w:val="en-US"/>
        </w:rPr>
        <w:t>to</w:t>
      </w:r>
      <w:r w:rsidR="00CC032D">
        <w:rPr>
          <w:lang w:val="en-US"/>
        </w:rPr>
        <w:t xml:space="preserve"> us. However, it should be noted that report on leave is also a </w:t>
      </w:r>
      <w:r w:rsidR="00452D52">
        <w:rPr>
          <w:lang w:val="en-US"/>
        </w:rPr>
        <w:t xml:space="preserve">measurement </w:t>
      </w:r>
      <w:r w:rsidR="00CC032D">
        <w:rPr>
          <w:lang w:val="en-US"/>
        </w:rPr>
        <w:t xml:space="preserve">report, and based on the existing conditions the delay requirements would still apply for 1280 </w:t>
      </w:r>
      <w:proofErr w:type="spellStart"/>
      <w:r w:rsidR="00CC032D">
        <w:rPr>
          <w:lang w:val="en-US"/>
        </w:rPr>
        <w:t>ms</w:t>
      </w:r>
      <w:proofErr w:type="spellEnd"/>
      <w:r w:rsidR="00CC032D">
        <w:rPr>
          <w:lang w:val="en-US"/>
        </w:rPr>
        <w:t xml:space="preserve"> after this report, as the target TCI state is known also based on report on leave.</w:t>
      </w:r>
      <w:r w:rsidR="00882834">
        <w:rPr>
          <w:lang w:val="en-US"/>
        </w:rPr>
        <w:t xml:space="preserve"> </w:t>
      </w:r>
    </w:p>
    <w:p w14:paraId="495E4B6B" w14:textId="46DD8B51" w:rsidR="00D829BF" w:rsidRDefault="00F51588" w:rsidP="00D829BF">
      <w:pPr>
        <w:pStyle w:val="RAN4proposal"/>
        <w:rPr>
          <w:lang w:val="en-US"/>
        </w:rPr>
      </w:pPr>
      <w:bookmarkStart w:id="8" w:name="_Toc194055724"/>
      <w:r>
        <w:rPr>
          <w:lang w:val="en-US"/>
        </w:rPr>
        <w:t xml:space="preserve">Capture the agreement </w:t>
      </w:r>
      <w:r w:rsidR="009F12BE">
        <w:rPr>
          <w:lang w:val="en-US"/>
        </w:rPr>
        <w:t xml:space="preserve">about </w:t>
      </w:r>
      <w:r w:rsidR="00F83379">
        <w:rPr>
          <w:lang w:val="en-US"/>
        </w:rPr>
        <w:t xml:space="preserve">cell switch and TCI state activation </w:t>
      </w:r>
      <w:r w:rsidR="009F12BE">
        <w:rPr>
          <w:lang w:val="en-US"/>
        </w:rPr>
        <w:t xml:space="preserve">delay applicability </w:t>
      </w:r>
      <w:r>
        <w:rPr>
          <w:lang w:val="en-US"/>
        </w:rPr>
        <w:t xml:space="preserve">under issue 2-10 of </w:t>
      </w:r>
      <w:r w:rsidR="009F12BE">
        <w:rPr>
          <w:lang w:val="en-US"/>
        </w:rPr>
        <w:t xml:space="preserve">RAN4#114 WF as a separate </w:t>
      </w:r>
      <w:r w:rsidR="000529E5">
        <w:rPr>
          <w:lang w:val="en-US"/>
        </w:rPr>
        <w:t xml:space="preserve">applicability </w:t>
      </w:r>
      <w:r w:rsidR="009F12BE">
        <w:rPr>
          <w:lang w:val="en-US"/>
        </w:rPr>
        <w:t xml:space="preserve">condition i.e. do not edit </w:t>
      </w:r>
      <w:r w:rsidR="00036DC0">
        <w:rPr>
          <w:lang w:val="en-US"/>
        </w:rPr>
        <w:t xml:space="preserve">the existing </w:t>
      </w:r>
      <w:r w:rsidR="009F12BE">
        <w:rPr>
          <w:lang w:val="en-US"/>
        </w:rPr>
        <w:t>known TCI state condition.</w:t>
      </w:r>
      <w:bookmarkEnd w:id="8"/>
    </w:p>
    <w:p w14:paraId="19BD7B53" w14:textId="50B55921" w:rsidR="00CC032D" w:rsidRDefault="008114C0" w:rsidP="00CC032D">
      <w:pPr>
        <w:pStyle w:val="RAN4proposal"/>
        <w:rPr>
          <w:lang w:val="en-US"/>
        </w:rPr>
      </w:pPr>
      <w:bookmarkStart w:id="9" w:name="_Toc194055725"/>
      <w:r>
        <w:rPr>
          <w:lang w:val="en-US"/>
        </w:rPr>
        <w:t xml:space="preserve">If UE sends report on leave, this leads to </w:t>
      </w:r>
      <w:r w:rsidR="008C5DD6">
        <w:rPr>
          <w:lang w:val="en-US"/>
        </w:rPr>
        <w:t xml:space="preserve">an associated </w:t>
      </w:r>
      <w:r>
        <w:rPr>
          <w:lang w:val="en-US"/>
        </w:rPr>
        <w:t xml:space="preserve">TCI state being known </w:t>
      </w:r>
      <w:r w:rsidR="00DB4577">
        <w:rPr>
          <w:lang w:val="en-US"/>
        </w:rPr>
        <w:t xml:space="preserve">for 1280 </w:t>
      </w:r>
      <w:proofErr w:type="spellStart"/>
      <w:r w:rsidR="00DB4577">
        <w:rPr>
          <w:lang w:val="en-US"/>
        </w:rPr>
        <w:t>ms</w:t>
      </w:r>
      <w:proofErr w:type="spellEnd"/>
      <w:r w:rsidR="00DB4577">
        <w:rPr>
          <w:lang w:val="en-US"/>
        </w:rPr>
        <w:t xml:space="preserve"> </w:t>
      </w:r>
      <w:r w:rsidR="00604A98">
        <w:rPr>
          <w:lang w:val="en-US"/>
        </w:rPr>
        <w:t xml:space="preserve">after the report </w:t>
      </w:r>
      <w:r>
        <w:rPr>
          <w:lang w:val="en-US"/>
        </w:rPr>
        <w:t xml:space="preserve">similar as any other </w:t>
      </w:r>
      <w:r w:rsidR="008C5DD6">
        <w:rPr>
          <w:lang w:val="en-US"/>
        </w:rPr>
        <w:t xml:space="preserve">L1 </w:t>
      </w:r>
      <w:r>
        <w:rPr>
          <w:lang w:val="en-US"/>
        </w:rPr>
        <w:t xml:space="preserve">report i.e. requirements do not stop applying </w:t>
      </w:r>
      <w:r w:rsidR="00DB4577">
        <w:rPr>
          <w:lang w:val="en-US"/>
        </w:rPr>
        <w:t>immediately when</w:t>
      </w:r>
      <w:r>
        <w:rPr>
          <w:lang w:val="en-US"/>
        </w:rPr>
        <w:t xml:space="preserve"> report on leave</w:t>
      </w:r>
      <w:r w:rsidR="00DB4577">
        <w:rPr>
          <w:lang w:val="en-US"/>
        </w:rPr>
        <w:t xml:space="preserve"> is sent</w:t>
      </w:r>
      <w:r w:rsidR="00452D52">
        <w:rPr>
          <w:lang w:val="en-US"/>
        </w:rPr>
        <w:t>.</w:t>
      </w:r>
      <w:bookmarkEnd w:id="9"/>
    </w:p>
    <w:p w14:paraId="169FBA67" w14:textId="30648CD8" w:rsidR="00D95BF8" w:rsidRDefault="004109A3" w:rsidP="00BA47B6">
      <w:r>
        <w:t>To</w:t>
      </w:r>
      <w:r w:rsidR="001F0DE7">
        <w:t xml:space="preserve"> describe the proposals in this contribution better, we have prepared a </w:t>
      </w:r>
      <w:r w:rsidR="00306802">
        <w:t xml:space="preserve">text proposal in our </w:t>
      </w:r>
      <w:r w:rsidR="001F0DE7">
        <w:t xml:space="preserve">draft CR in </w:t>
      </w:r>
      <w:r w:rsidR="00306802" w:rsidRPr="00306802">
        <w:t>R4-2504072</w:t>
      </w:r>
      <w:r w:rsidR="001F0DE7">
        <w:t xml:space="preserve"> to show</w:t>
      </w:r>
      <w:r w:rsidR="00E33271">
        <w:t xml:space="preserve"> how we think the requirements can be captured.</w:t>
      </w:r>
    </w:p>
    <w:p w14:paraId="208A2FA2" w14:textId="1847E7EE" w:rsidR="00CD7492" w:rsidRPr="008F786B" w:rsidRDefault="00CD7492" w:rsidP="00A37002">
      <w:pPr>
        <w:pStyle w:val="RAN4H1"/>
      </w:pPr>
      <w:bookmarkStart w:id="10" w:name="_Toc116995848"/>
      <w:r w:rsidRPr="008F786B">
        <w:t>Conclusion</w:t>
      </w:r>
      <w:bookmarkEnd w:id="10"/>
    </w:p>
    <w:p w14:paraId="70521318"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D1197FE" w14:textId="77777777" w:rsidR="001B472E"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55721" w:history="1">
        <w:r w:rsidR="001B472E" w:rsidRPr="00FF2AD4">
          <w:rPr>
            <w:rStyle w:val="Hyperlink"/>
            <w:noProof/>
          </w:rPr>
          <w:t>Proposal 1:</w:t>
        </w:r>
        <w:r w:rsidR="001B472E" w:rsidRPr="00FF2AD4">
          <w:rPr>
            <w:rStyle w:val="Hyperlink"/>
            <w:noProof/>
            <w:lang w:eastAsia="en-GB"/>
          </w:rPr>
          <w:t xml:space="preserve"> The SSB-based event triggered measurement reporting delay shall be less than </w:t>
        </w:r>
        <w:r w:rsidR="001B472E" w:rsidRPr="00FF2AD4">
          <w:rPr>
            <w:rStyle w:val="Hyperlink"/>
            <w:noProof/>
          </w:rPr>
          <w:t>T</w:t>
        </w:r>
        <w:r w:rsidR="001B472E" w:rsidRPr="00FF2AD4">
          <w:rPr>
            <w:rStyle w:val="Hyperlink"/>
            <w:noProof/>
            <w:vertAlign w:val="subscript"/>
          </w:rPr>
          <w:t>L1-RSRP_Measurement_Period_SSB_intra</w:t>
        </w:r>
        <w:r w:rsidR="001B472E" w:rsidRPr="00FF2AD4">
          <w:rPr>
            <w:rStyle w:val="Hyperlink"/>
            <w:noProof/>
            <w:lang w:eastAsia="en-GB"/>
          </w:rPr>
          <w:t xml:space="preserve"> (clause </w:t>
        </w:r>
        <w:r w:rsidR="001B472E" w:rsidRPr="00FF2AD4">
          <w:rPr>
            <w:rStyle w:val="Hyperlink"/>
            <w:noProof/>
          </w:rPr>
          <w:t xml:space="preserve">9.14.5) </w:t>
        </w:r>
        <w:r w:rsidR="001B472E" w:rsidRPr="00FF2AD4">
          <w:rPr>
            <w:rStyle w:val="Hyperlink"/>
            <w:noProof/>
            <w:lang w:eastAsia="en-GB"/>
          </w:rPr>
          <w:t xml:space="preserve">or </w:t>
        </w:r>
        <w:r w:rsidR="001B472E" w:rsidRPr="00FF2AD4">
          <w:rPr>
            <w:rStyle w:val="Hyperlink"/>
            <w:noProof/>
          </w:rPr>
          <w:t>T</w:t>
        </w:r>
        <w:r w:rsidR="001B472E" w:rsidRPr="00FF2AD4">
          <w:rPr>
            <w:rStyle w:val="Hyperlink"/>
            <w:noProof/>
            <w:vertAlign w:val="subscript"/>
          </w:rPr>
          <w:t>L1-RSRP_Measurement_Period_SSB_Inter</w:t>
        </w:r>
        <w:r w:rsidR="001B472E" w:rsidRPr="00FF2AD4">
          <w:rPr>
            <w:rStyle w:val="Hyperlink"/>
            <w:noProof/>
          </w:rPr>
          <w:t xml:space="preserve"> (clause 9.15.5)</w:t>
        </w:r>
        <w:r w:rsidR="001B472E" w:rsidRPr="00FF2AD4">
          <w:rPr>
            <w:rStyle w:val="Hyperlink"/>
            <w:noProof/>
            <w:lang w:eastAsia="en-GB"/>
          </w:rPr>
          <w:t xml:space="preserve">, where </w:t>
        </w:r>
        <w:r w:rsidR="001B472E" w:rsidRPr="00FF2AD4">
          <w:rPr>
            <w:rStyle w:val="Hyperlink"/>
            <w:noProof/>
          </w:rPr>
          <w:t>T</w:t>
        </w:r>
        <w:r w:rsidR="001B472E" w:rsidRPr="00FF2AD4">
          <w:rPr>
            <w:rStyle w:val="Hyperlink"/>
            <w:noProof/>
            <w:vertAlign w:val="subscript"/>
          </w:rPr>
          <w:t>report</w:t>
        </w:r>
        <w:r w:rsidR="001B472E" w:rsidRPr="00FF2AD4">
          <w:rPr>
            <w:rStyle w:val="Hyperlink"/>
            <w:noProof/>
          </w:rPr>
          <w:t xml:space="preserve"> = 0 and T</w:t>
        </w:r>
        <w:r w:rsidR="001B472E" w:rsidRPr="00FF2AD4">
          <w:rPr>
            <w:rStyle w:val="Hyperlink"/>
            <w:noProof/>
            <w:vertAlign w:val="subscript"/>
          </w:rPr>
          <w:t>SSB_NBC</w:t>
        </w:r>
        <w:r w:rsidR="001B472E" w:rsidRPr="00FF2AD4">
          <w:rPr>
            <w:rStyle w:val="Hyperlink"/>
            <w:noProof/>
          </w:rPr>
          <w:t xml:space="preserve"> is the periodicity of the (serving or candidate cell) SSB that triggers the report.</w:t>
        </w:r>
      </w:hyperlink>
    </w:p>
    <w:p w14:paraId="0700D3CD" w14:textId="77777777" w:rsidR="001B472E" w:rsidRDefault="001B472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55722" w:history="1">
        <w:r w:rsidRPr="00FF2AD4">
          <w:rPr>
            <w:rStyle w:val="Hyperlink"/>
            <w:noProof/>
          </w:rPr>
          <w:t>Proposal 2: Approach of proposal 1 can be followed for CSI-RS based event-triggered reporting delay once the CSI-RS measurement requirements are concluded.</w:t>
        </w:r>
      </w:hyperlink>
    </w:p>
    <w:p w14:paraId="45CA21DC" w14:textId="77777777" w:rsidR="001B472E" w:rsidRDefault="001B472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55723" w:history="1">
        <w:r w:rsidRPr="00FF2AD4">
          <w:rPr>
            <w:rStyle w:val="Hyperlink"/>
            <w:noProof/>
          </w:rPr>
          <w:t>Proposal 3: For event-triggered periodic reporting, apply the event-triggered reporting requirements for the first report, and for the following periodic reports simply specify the measurement accuracy requirements the reported measurements shall fulfil (similar to L3 event-triggered periodic reporting).</w:t>
        </w:r>
      </w:hyperlink>
    </w:p>
    <w:p w14:paraId="7681CC36" w14:textId="77777777" w:rsidR="001B472E" w:rsidRDefault="001B472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55724" w:history="1">
        <w:r w:rsidRPr="00FF2AD4">
          <w:rPr>
            <w:rStyle w:val="Hyperlink"/>
            <w:noProof/>
            <w:lang w:val="en-US"/>
          </w:rPr>
          <w:t>Proposal 4: Capture the agreement about cell switch and TCI state activation delay applicability under issue 2-10 of RAN4#114 WF as a separate applicability condition i.e. do not edit the existing known TCI state condition.</w:t>
        </w:r>
      </w:hyperlink>
    </w:p>
    <w:p w14:paraId="6C8424E8" w14:textId="77777777" w:rsidR="001B472E" w:rsidRDefault="001B472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55725" w:history="1">
        <w:r w:rsidRPr="00FF2AD4">
          <w:rPr>
            <w:rStyle w:val="Hyperlink"/>
            <w:noProof/>
            <w:lang w:val="en-US"/>
          </w:rPr>
          <w:t>Proposal 5: If UE sends report on leave, this leads to an associated TCI state being known for 1280 ms after the report similar as any other L1 report i.e. requirements do not stop applying immediately when report on leave is sent.</w:t>
        </w:r>
      </w:hyperlink>
    </w:p>
    <w:p w14:paraId="48426BC5" w14:textId="2488CAB3" w:rsidR="00847264" w:rsidRPr="008F786B" w:rsidRDefault="00A4355E" w:rsidP="008C39F7">
      <w:r w:rsidRPr="008F786B">
        <w:fldChar w:fldCharType="end"/>
      </w:r>
      <w:bookmarkStart w:id="11" w:name="_Toc116995849"/>
    </w:p>
    <w:p w14:paraId="372D38B6" w14:textId="77777777" w:rsidR="003B659E" w:rsidRPr="008F786B" w:rsidRDefault="003B659E" w:rsidP="0060543D">
      <w:pPr>
        <w:pStyle w:val="RAN4H1"/>
        <w:numPr>
          <w:ilvl w:val="0"/>
          <w:numId w:val="0"/>
        </w:numPr>
        <w:ind w:left="360" w:hanging="360"/>
      </w:pPr>
      <w:r w:rsidRPr="008F786B">
        <w:t>References</w:t>
      </w:r>
      <w:bookmarkEnd w:id="11"/>
    </w:p>
    <w:p w14:paraId="6A1DE4D6" w14:textId="0A176CD8" w:rsidR="00E82B94" w:rsidRPr="008F786B" w:rsidRDefault="00277E87" w:rsidP="00277E87">
      <w:pPr>
        <w:pStyle w:val="ListParagraph"/>
        <w:numPr>
          <w:ilvl w:val="0"/>
          <w:numId w:val="21"/>
        </w:numPr>
        <w:ind w:right="-22"/>
      </w:pPr>
      <w:r w:rsidRPr="00277E87">
        <w:t>WF for Part 1:  R4-2502601, Apple</w:t>
      </w:r>
      <w:r>
        <w:t>, RAN4#114</w:t>
      </w:r>
    </w:p>
    <w:p w14:paraId="17E0E439" w14:textId="77777777" w:rsidR="00E43BF9" w:rsidRDefault="00E43BF9" w:rsidP="0047727A">
      <w:pPr>
        <w:ind w:right="-22"/>
      </w:pPr>
    </w:p>
    <w:p w14:paraId="564BD418" w14:textId="77777777" w:rsidR="0047727A" w:rsidRDefault="0047727A" w:rsidP="0047727A">
      <w:pPr>
        <w:ind w:right="-22"/>
      </w:pPr>
    </w:p>
    <w:sectPr w:rsidR="0047727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C03F9" w14:textId="77777777" w:rsidR="00DC2CE5" w:rsidRDefault="00DC2CE5" w:rsidP="00001C9B">
      <w:pPr>
        <w:spacing w:after="0" w:line="240" w:lineRule="auto"/>
      </w:pPr>
      <w:r>
        <w:separator/>
      </w:r>
    </w:p>
  </w:endnote>
  <w:endnote w:type="continuationSeparator" w:id="0">
    <w:p w14:paraId="4AD61393" w14:textId="77777777" w:rsidR="00DC2CE5" w:rsidRDefault="00DC2CE5" w:rsidP="00001C9B">
      <w:pPr>
        <w:spacing w:after="0" w:line="240" w:lineRule="auto"/>
      </w:pPr>
      <w:r>
        <w:continuationSeparator/>
      </w:r>
    </w:p>
  </w:endnote>
  <w:endnote w:type="continuationNotice" w:id="1">
    <w:p w14:paraId="1F9FD710" w14:textId="77777777" w:rsidR="00DC2CE5" w:rsidRDefault="00DC2C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072D" w14:textId="77777777" w:rsidR="00DC2CE5" w:rsidRDefault="00DC2CE5" w:rsidP="00001C9B">
      <w:pPr>
        <w:spacing w:after="0" w:line="240" w:lineRule="auto"/>
      </w:pPr>
      <w:r>
        <w:separator/>
      </w:r>
    </w:p>
  </w:footnote>
  <w:footnote w:type="continuationSeparator" w:id="0">
    <w:p w14:paraId="67537BCE" w14:textId="77777777" w:rsidR="00DC2CE5" w:rsidRDefault="00DC2CE5" w:rsidP="00001C9B">
      <w:pPr>
        <w:spacing w:after="0" w:line="240" w:lineRule="auto"/>
      </w:pPr>
      <w:r>
        <w:continuationSeparator/>
      </w:r>
    </w:p>
  </w:footnote>
  <w:footnote w:type="continuationNotice" w:id="1">
    <w:p w14:paraId="01E94489" w14:textId="77777777" w:rsidR="00DC2CE5" w:rsidRDefault="00DC2C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C74EF"/>
    <w:multiLevelType w:val="multilevel"/>
    <w:tmpl w:val="8F4E2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472A1F"/>
    <w:multiLevelType w:val="multilevel"/>
    <w:tmpl w:val="69F43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74440"/>
    <w:multiLevelType w:val="hybridMultilevel"/>
    <w:tmpl w:val="F308419C"/>
    <w:lvl w:ilvl="0" w:tplc="2E66855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F4551"/>
    <w:multiLevelType w:val="multilevel"/>
    <w:tmpl w:val="DCA8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D75CD3"/>
    <w:multiLevelType w:val="hybridMultilevel"/>
    <w:tmpl w:val="8876A3CC"/>
    <w:lvl w:ilvl="0" w:tplc="2E66855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1321C"/>
    <w:multiLevelType w:val="multilevel"/>
    <w:tmpl w:val="39DE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2D66EF"/>
    <w:multiLevelType w:val="multilevel"/>
    <w:tmpl w:val="4220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702E16"/>
    <w:multiLevelType w:val="multilevel"/>
    <w:tmpl w:val="5DB8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4616FA"/>
    <w:multiLevelType w:val="multilevel"/>
    <w:tmpl w:val="5D0A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4203CE1"/>
    <w:multiLevelType w:val="multilevel"/>
    <w:tmpl w:val="611243E6"/>
    <w:lvl w:ilvl="0">
      <w:start w:val="5"/>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780" w:hanging="36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66B2C"/>
    <w:multiLevelType w:val="multilevel"/>
    <w:tmpl w:val="A3BCC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7"/>
  </w:num>
  <w:num w:numId="4" w16cid:durableId="517735681">
    <w:abstractNumId w:val="8"/>
  </w:num>
  <w:num w:numId="5" w16cid:durableId="1142041724">
    <w:abstractNumId w:val="25"/>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7"/>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2"/>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9"/>
  </w:num>
  <w:num w:numId="28" w16cid:durableId="2095668156">
    <w:abstractNumId w:val="3"/>
  </w:num>
  <w:num w:numId="29" w16cid:durableId="970280633">
    <w:abstractNumId w:val="26"/>
  </w:num>
  <w:num w:numId="30" w16cid:durableId="1774282391">
    <w:abstractNumId w:val="19"/>
  </w:num>
  <w:num w:numId="31" w16cid:durableId="1229725440">
    <w:abstractNumId w:val="11"/>
  </w:num>
  <w:num w:numId="32" w16cid:durableId="2062551789">
    <w:abstractNumId w:val="12"/>
  </w:num>
  <w:num w:numId="33" w16cid:durableId="1769354406">
    <w:abstractNumId w:val="4"/>
  </w:num>
  <w:num w:numId="34" w16cid:durableId="1313681135">
    <w:abstractNumId w:val="28"/>
  </w:num>
  <w:num w:numId="35" w16cid:durableId="1878740008">
    <w:abstractNumId w:val="6"/>
  </w:num>
  <w:num w:numId="36" w16cid:durableId="417948162">
    <w:abstractNumId w:val="18"/>
  </w:num>
  <w:num w:numId="37" w16cid:durableId="153105853">
    <w:abstractNumId w:val="10"/>
  </w:num>
  <w:num w:numId="38" w16cid:durableId="872889613">
    <w:abstractNumId w:val="21"/>
  </w:num>
  <w:num w:numId="39" w16cid:durableId="1575044246">
    <w:abstractNumId w:val="20"/>
  </w:num>
  <w:num w:numId="40" w16cid:durableId="917135880">
    <w:abstractNumId w:val="23"/>
  </w:num>
  <w:num w:numId="41" w16cid:durableId="153882568">
    <w:abstractNumId w:val="7"/>
  </w:num>
  <w:num w:numId="42" w16cid:durableId="653527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2198"/>
    <w:rsid w:val="00001C9B"/>
    <w:rsid w:val="000040DC"/>
    <w:rsid w:val="00011784"/>
    <w:rsid w:val="000151EF"/>
    <w:rsid w:val="00016EC3"/>
    <w:rsid w:val="000239F5"/>
    <w:rsid w:val="00026E52"/>
    <w:rsid w:val="00027476"/>
    <w:rsid w:val="0002775B"/>
    <w:rsid w:val="00032CE8"/>
    <w:rsid w:val="00036DC0"/>
    <w:rsid w:val="000529E5"/>
    <w:rsid w:val="00061256"/>
    <w:rsid w:val="00061445"/>
    <w:rsid w:val="0007098D"/>
    <w:rsid w:val="00071CC9"/>
    <w:rsid w:val="00072CCA"/>
    <w:rsid w:val="0007601C"/>
    <w:rsid w:val="0007785F"/>
    <w:rsid w:val="000778BD"/>
    <w:rsid w:val="00081544"/>
    <w:rsid w:val="0008612A"/>
    <w:rsid w:val="00090E18"/>
    <w:rsid w:val="00092F9A"/>
    <w:rsid w:val="000A10BC"/>
    <w:rsid w:val="000A7F53"/>
    <w:rsid w:val="000B0056"/>
    <w:rsid w:val="000C3C7B"/>
    <w:rsid w:val="000C7B4E"/>
    <w:rsid w:val="000D0F93"/>
    <w:rsid w:val="000D5FA9"/>
    <w:rsid w:val="000E15D5"/>
    <w:rsid w:val="000F3755"/>
    <w:rsid w:val="000F5D60"/>
    <w:rsid w:val="00106416"/>
    <w:rsid w:val="00110481"/>
    <w:rsid w:val="001127C9"/>
    <w:rsid w:val="001142E8"/>
    <w:rsid w:val="00114498"/>
    <w:rsid w:val="00115B88"/>
    <w:rsid w:val="001244C0"/>
    <w:rsid w:val="00132F6A"/>
    <w:rsid w:val="00133913"/>
    <w:rsid w:val="00140221"/>
    <w:rsid w:val="00153FF4"/>
    <w:rsid w:val="001555FD"/>
    <w:rsid w:val="00161598"/>
    <w:rsid w:val="00161913"/>
    <w:rsid w:val="0016343D"/>
    <w:rsid w:val="001636ED"/>
    <w:rsid w:val="001642FC"/>
    <w:rsid w:val="0016496B"/>
    <w:rsid w:val="001743E2"/>
    <w:rsid w:val="001745F8"/>
    <w:rsid w:val="00175A52"/>
    <w:rsid w:val="001838CF"/>
    <w:rsid w:val="00185B83"/>
    <w:rsid w:val="001868EE"/>
    <w:rsid w:val="00192D7C"/>
    <w:rsid w:val="00196EBB"/>
    <w:rsid w:val="001A0AB4"/>
    <w:rsid w:val="001A0ED6"/>
    <w:rsid w:val="001A2151"/>
    <w:rsid w:val="001A3BA4"/>
    <w:rsid w:val="001A6D1F"/>
    <w:rsid w:val="001B1EA8"/>
    <w:rsid w:val="001B3ABF"/>
    <w:rsid w:val="001B472E"/>
    <w:rsid w:val="001E30F6"/>
    <w:rsid w:val="001F0DE7"/>
    <w:rsid w:val="0020510F"/>
    <w:rsid w:val="002161A4"/>
    <w:rsid w:val="00216379"/>
    <w:rsid w:val="00217EE5"/>
    <w:rsid w:val="0023559D"/>
    <w:rsid w:val="00235F5C"/>
    <w:rsid w:val="0024235F"/>
    <w:rsid w:val="00242E5B"/>
    <w:rsid w:val="002433E2"/>
    <w:rsid w:val="00257FA3"/>
    <w:rsid w:val="00277B56"/>
    <w:rsid w:val="00277E87"/>
    <w:rsid w:val="0028131D"/>
    <w:rsid w:val="00282A74"/>
    <w:rsid w:val="002849D4"/>
    <w:rsid w:val="002909E6"/>
    <w:rsid w:val="00290A94"/>
    <w:rsid w:val="00295E70"/>
    <w:rsid w:val="00295F7C"/>
    <w:rsid w:val="002A19F5"/>
    <w:rsid w:val="002A693C"/>
    <w:rsid w:val="002B0156"/>
    <w:rsid w:val="002B4922"/>
    <w:rsid w:val="002B69F3"/>
    <w:rsid w:val="002C22C3"/>
    <w:rsid w:val="002C2D19"/>
    <w:rsid w:val="002C4DB1"/>
    <w:rsid w:val="002D10FA"/>
    <w:rsid w:val="002D1533"/>
    <w:rsid w:val="002D4C55"/>
    <w:rsid w:val="002E6DED"/>
    <w:rsid w:val="002F456E"/>
    <w:rsid w:val="00300956"/>
    <w:rsid w:val="0030560B"/>
    <w:rsid w:val="00305BFE"/>
    <w:rsid w:val="00306802"/>
    <w:rsid w:val="00307EE8"/>
    <w:rsid w:val="00312B82"/>
    <w:rsid w:val="00317187"/>
    <w:rsid w:val="003202B3"/>
    <w:rsid w:val="00321F21"/>
    <w:rsid w:val="0032499A"/>
    <w:rsid w:val="003341F7"/>
    <w:rsid w:val="00335CED"/>
    <w:rsid w:val="003450DB"/>
    <w:rsid w:val="00347FEC"/>
    <w:rsid w:val="003509DF"/>
    <w:rsid w:val="0035431D"/>
    <w:rsid w:val="00356487"/>
    <w:rsid w:val="00356F45"/>
    <w:rsid w:val="00366B74"/>
    <w:rsid w:val="0037397C"/>
    <w:rsid w:val="003774C0"/>
    <w:rsid w:val="00381F95"/>
    <w:rsid w:val="0038231D"/>
    <w:rsid w:val="003837E8"/>
    <w:rsid w:val="00385172"/>
    <w:rsid w:val="003A4FFB"/>
    <w:rsid w:val="003A710A"/>
    <w:rsid w:val="003B2E7A"/>
    <w:rsid w:val="003B4307"/>
    <w:rsid w:val="003B659E"/>
    <w:rsid w:val="003B6A09"/>
    <w:rsid w:val="003C275E"/>
    <w:rsid w:val="003C4FDE"/>
    <w:rsid w:val="003E58DF"/>
    <w:rsid w:val="003E7A93"/>
    <w:rsid w:val="003F0DC5"/>
    <w:rsid w:val="003F7007"/>
    <w:rsid w:val="00404C4C"/>
    <w:rsid w:val="004109A3"/>
    <w:rsid w:val="0041423F"/>
    <w:rsid w:val="00414F81"/>
    <w:rsid w:val="0042593B"/>
    <w:rsid w:val="00426B9A"/>
    <w:rsid w:val="00436A0F"/>
    <w:rsid w:val="00437150"/>
    <w:rsid w:val="0043750A"/>
    <w:rsid w:val="00440A36"/>
    <w:rsid w:val="00447577"/>
    <w:rsid w:val="00452D52"/>
    <w:rsid w:val="004563AF"/>
    <w:rsid w:val="004732E9"/>
    <w:rsid w:val="004766C6"/>
    <w:rsid w:val="0047727A"/>
    <w:rsid w:val="004854BB"/>
    <w:rsid w:val="00494493"/>
    <w:rsid w:val="00496606"/>
    <w:rsid w:val="004E5E66"/>
    <w:rsid w:val="004E7ADB"/>
    <w:rsid w:val="004F346F"/>
    <w:rsid w:val="00502DF7"/>
    <w:rsid w:val="00503B4D"/>
    <w:rsid w:val="00504733"/>
    <w:rsid w:val="00504EE9"/>
    <w:rsid w:val="00512B49"/>
    <w:rsid w:val="00514E4F"/>
    <w:rsid w:val="00521576"/>
    <w:rsid w:val="005250E6"/>
    <w:rsid w:val="005367DE"/>
    <w:rsid w:val="00542D23"/>
    <w:rsid w:val="0054442C"/>
    <w:rsid w:val="0054461D"/>
    <w:rsid w:val="00550285"/>
    <w:rsid w:val="00562198"/>
    <w:rsid w:val="00562492"/>
    <w:rsid w:val="005624E0"/>
    <w:rsid w:val="005720DA"/>
    <w:rsid w:val="00572A20"/>
    <w:rsid w:val="00581618"/>
    <w:rsid w:val="005836F8"/>
    <w:rsid w:val="005918FA"/>
    <w:rsid w:val="00592A86"/>
    <w:rsid w:val="005942AC"/>
    <w:rsid w:val="005A01A5"/>
    <w:rsid w:val="005B3029"/>
    <w:rsid w:val="005B4801"/>
    <w:rsid w:val="005B6373"/>
    <w:rsid w:val="005B6518"/>
    <w:rsid w:val="005C23A4"/>
    <w:rsid w:val="005C6B2B"/>
    <w:rsid w:val="005C7EFA"/>
    <w:rsid w:val="005D1CDF"/>
    <w:rsid w:val="005D2BB7"/>
    <w:rsid w:val="005D6FFE"/>
    <w:rsid w:val="005E61A8"/>
    <w:rsid w:val="005F6419"/>
    <w:rsid w:val="00601730"/>
    <w:rsid w:val="0060301D"/>
    <w:rsid w:val="00604A98"/>
    <w:rsid w:val="0060543D"/>
    <w:rsid w:val="006104DD"/>
    <w:rsid w:val="006130B5"/>
    <w:rsid w:val="00614DD8"/>
    <w:rsid w:val="00617400"/>
    <w:rsid w:val="00631873"/>
    <w:rsid w:val="00632D29"/>
    <w:rsid w:val="00636DE4"/>
    <w:rsid w:val="0064171D"/>
    <w:rsid w:val="00664950"/>
    <w:rsid w:val="00674431"/>
    <w:rsid w:val="00683220"/>
    <w:rsid w:val="0068781B"/>
    <w:rsid w:val="00687FA0"/>
    <w:rsid w:val="006A062C"/>
    <w:rsid w:val="006A3C11"/>
    <w:rsid w:val="006B0573"/>
    <w:rsid w:val="006B7010"/>
    <w:rsid w:val="006C3095"/>
    <w:rsid w:val="006C3B23"/>
    <w:rsid w:val="006C5089"/>
    <w:rsid w:val="006D35AA"/>
    <w:rsid w:val="006D40DB"/>
    <w:rsid w:val="006E1151"/>
    <w:rsid w:val="006E551B"/>
    <w:rsid w:val="006E6311"/>
    <w:rsid w:val="006F3266"/>
    <w:rsid w:val="00701D91"/>
    <w:rsid w:val="00714025"/>
    <w:rsid w:val="007145FF"/>
    <w:rsid w:val="00715B2A"/>
    <w:rsid w:val="00720EB3"/>
    <w:rsid w:val="00733B21"/>
    <w:rsid w:val="007376A9"/>
    <w:rsid w:val="007450F1"/>
    <w:rsid w:val="00746548"/>
    <w:rsid w:val="007475A6"/>
    <w:rsid w:val="00751515"/>
    <w:rsid w:val="00755B3F"/>
    <w:rsid w:val="007626B7"/>
    <w:rsid w:val="007651FF"/>
    <w:rsid w:val="0078212B"/>
    <w:rsid w:val="00784DF6"/>
    <w:rsid w:val="00785232"/>
    <w:rsid w:val="007A2588"/>
    <w:rsid w:val="007A77C1"/>
    <w:rsid w:val="007B186C"/>
    <w:rsid w:val="007C1696"/>
    <w:rsid w:val="007C3ED0"/>
    <w:rsid w:val="007C48C4"/>
    <w:rsid w:val="007C5971"/>
    <w:rsid w:val="007D458D"/>
    <w:rsid w:val="007E36C6"/>
    <w:rsid w:val="007E42DC"/>
    <w:rsid w:val="007E4668"/>
    <w:rsid w:val="007E6D23"/>
    <w:rsid w:val="007F01F5"/>
    <w:rsid w:val="007F07F9"/>
    <w:rsid w:val="007F1281"/>
    <w:rsid w:val="007F3136"/>
    <w:rsid w:val="007F54B9"/>
    <w:rsid w:val="007F7430"/>
    <w:rsid w:val="008065DA"/>
    <w:rsid w:val="00806A76"/>
    <w:rsid w:val="008114C0"/>
    <w:rsid w:val="00811C9D"/>
    <w:rsid w:val="00811E7B"/>
    <w:rsid w:val="00811FEA"/>
    <w:rsid w:val="00816C80"/>
    <w:rsid w:val="0081797B"/>
    <w:rsid w:val="00823F4B"/>
    <w:rsid w:val="00826723"/>
    <w:rsid w:val="0082796A"/>
    <w:rsid w:val="0083009B"/>
    <w:rsid w:val="0083707A"/>
    <w:rsid w:val="00841BCD"/>
    <w:rsid w:val="00847264"/>
    <w:rsid w:val="00850DA9"/>
    <w:rsid w:val="00851A8E"/>
    <w:rsid w:val="00853386"/>
    <w:rsid w:val="0085365B"/>
    <w:rsid w:val="008578F0"/>
    <w:rsid w:val="00863C79"/>
    <w:rsid w:val="008668DA"/>
    <w:rsid w:val="00877972"/>
    <w:rsid w:val="008826C1"/>
    <w:rsid w:val="00882834"/>
    <w:rsid w:val="00883DFD"/>
    <w:rsid w:val="00885644"/>
    <w:rsid w:val="0089210C"/>
    <w:rsid w:val="00893D2E"/>
    <w:rsid w:val="008A1BF7"/>
    <w:rsid w:val="008A5B0E"/>
    <w:rsid w:val="008B0961"/>
    <w:rsid w:val="008C39F7"/>
    <w:rsid w:val="008C4153"/>
    <w:rsid w:val="008C5DD6"/>
    <w:rsid w:val="008D1F3B"/>
    <w:rsid w:val="008D40D0"/>
    <w:rsid w:val="008F55C0"/>
    <w:rsid w:val="008F786B"/>
    <w:rsid w:val="0090091A"/>
    <w:rsid w:val="0090373B"/>
    <w:rsid w:val="009042BD"/>
    <w:rsid w:val="00904FE4"/>
    <w:rsid w:val="009148DC"/>
    <w:rsid w:val="00920293"/>
    <w:rsid w:val="00927740"/>
    <w:rsid w:val="00930D47"/>
    <w:rsid w:val="00931169"/>
    <w:rsid w:val="00936159"/>
    <w:rsid w:val="00937E91"/>
    <w:rsid w:val="009532C6"/>
    <w:rsid w:val="00955080"/>
    <w:rsid w:val="0096513E"/>
    <w:rsid w:val="00972FA9"/>
    <w:rsid w:val="00977E1D"/>
    <w:rsid w:val="009838E5"/>
    <w:rsid w:val="009A32FE"/>
    <w:rsid w:val="009A366A"/>
    <w:rsid w:val="009B0573"/>
    <w:rsid w:val="009B7B4B"/>
    <w:rsid w:val="009B7C21"/>
    <w:rsid w:val="009C11DE"/>
    <w:rsid w:val="009D0391"/>
    <w:rsid w:val="009E4E6E"/>
    <w:rsid w:val="009E5FA9"/>
    <w:rsid w:val="009F12BE"/>
    <w:rsid w:val="009F21C6"/>
    <w:rsid w:val="00A04992"/>
    <w:rsid w:val="00A147AA"/>
    <w:rsid w:val="00A21D71"/>
    <w:rsid w:val="00A22B78"/>
    <w:rsid w:val="00A246F7"/>
    <w:rsid w:val="00A25AE5"/>
    <w:rsid w:val="00A26442"/>
    <w:rsid w:val="00A37002"/>
    <w:rsid w:val="00A4355E"/>
    <w:rsid w:val="00A520D9"/>
    <w:rsid w:val="00A6223D"/>
    <w:rsid w:val="00A64DA0"/>
    <w:rsid w:val="00A671E1"/>
    <w:rsid w:val="00A92BCD"/>
    <w:rsid w:val="00A93FC5"/>
    <w:rsid w:val="00AA1B0E"/>
    <w:rsid w:val="00AA47B6"/>
    <w:rsid w:val="00AA7F93"/>
    <w:rsid w:val="00AB7412"/>
    <w:rsid w:val="00AC06C0"/>
    <w:rsid w:val="00AC163B"/>
    <w:rsid w:val="00AC5CA7"/>
    <w:rsid w:val="00AC6058"/>
    <w:rsid w:val="00AE2BA5"/>
    <w:rsid w:val="00AE3BC7"/>
    <w:rsid w:val="00AE56B1"/>
    <w:rsid w:val="00AE5BEF"/>
    <w:rsid w:val="00AE6D09"/>
    <w:rsid w:val="00AF7746"/>
    <w:rsid w:val="00AF7A7C"/>
    <w:rsid w:val="00B02070"/>
    <w:rsid w:val="00B26A8A"/>
    <w:rsid w:val="00B31808"/>
    <w:rsid w:val="00B36FCE"/>
    <w:rsid w:val="00B408B6"/>
    <w:rsid w:val="00B462B7"/>
    <w:rsid w:val="00B542DA"/>
    <w:rsid w:val="00B55CC0"/>
    <w:rsid w:val="00B572A4"/>
    <w:rsid w:val="00B60DA1"/>
    <w:rsid w:val="00B66B7D"/>
    <w:rsid w:val="00B73862"/>
    <w:rsid w:val="00B73F43"/>
    <w:rsid w:val="00B75BBF"/>
    <w:rsid w:val="00B81CDC"/>
    <w:rsid w:val="00BA308C"/>
    <w:rsid w:val="00BA47B6"/>
    <w:rsid w:val="00BA6B66"/>
    <w:rsid w:val="00BA6E48"/>
    <w:rsid w:val="00BB2806"/>
    <w:rsid w:val="00BB3ABB"/>
    <w:rsid w:val="00BC58CC"/>
    <w:rsid w:val="00BC5922"/>
    <w:rsid w:val="00BD04DD"/>
    <w:rsid w:val="00BD6B64"/>
    <w:rsid w:val="00BE0AF6"/>
    <w:rsid w:val="00BE1F03"/>
    <w:rsid w:val="00BE2989"/>
    <w:rsid w:val="00BE58A7"/>
    <w:rsid w:val="00BF044F"/>
    <w:rsid w:val="00BF2218"/>
    <w:rsid w:val="00BF3C0C"/>
    <w:rsid w:val="00BF75A6"/>
    <w:rsid w:val="00C0426B"/>
    <w:rsid w:val="00C045DF"/>
    <w:rsid w:val="00C131F8"/>
    <w:rsid w:val="00C17A22"/>
    <w:rsid w:val="00C26D43"/>
    <w:rsid w:val="00C35173"/>
    <w:rsid w:val="00C37773"/>
    <w:rsid w:val="00C43F4A"/>
    <w:rsid w:val="00C46548"/>
    <w:rsid w:val="00C47A1D"/>
    <w:rsid w:val="00C574D5"/>
    <w:rsid w:val="00C73F32"/>
    <w:rsid w:val="00C851E4"/>
    <w:rsid w:val="00C87462"/>
    <w:rsid w:val="00CA0B92"/>
    <w:rsid w:val="00CA180C"/>
    <w:rsid w:val="00CA1C73"/>
    <w:rsid w:val="00CA32A7"/>
    <w:rsid w:val="00CA4B7E"/>
    <w:rsid w:val="00CA7E2F"/>
    <w:rsid w:val="00CB22B2"/>
    <w:rsid w:val="00CB4093"/>
    <w:rsid w:val="00CC032D"/>
    <w:rsid w:val="00CC3EE2"/>
    <w:rsid w:val="00CD6C0E"/>
    <w:rsid w:val="00CD7492"/>
    <w:rsid w:val="00CE3A6B"/>
    <w:rsid w:val="00CE3AAC"/>
    <w:rsid w:val="00CE60CA"/>
    <w:rsid w:val="00CF49F7"/>
    <w:rsid w:val="00D00211"/>
    <w:rsid w:val="00D006D1"/>
    <w:rsid w:val="00D025AE"/>
    <w:rsid w:val="00D06309"/>
    <w:rsid w:val="00D14FED"/>
    <w:rsid w:val="00D343F9"/>
    <w:rsid w:val="00D351EA"/>
    <w:rsid w:val="00D37FE3"/>
    <w:rsid w:val="00D40288"/>
    <w:rsid w:val="00D41139"/>
    <w:rsid w:val="00D43403"/>
    <w:rsid w:val="00D50A6B"/>
    <w:rsid w:val="00D5270B"/>
    <w:rsid w:val="00D62E71"/>
    <w:rsid w:val="00D6430D"/>
    <w:rsid w:val="00D66188"/>
    <w:rsid w:val="00D731F6"/>
    <w:rsid w:val="00D740CA"/>
    <w:rsid w:val="00D77BA1"/>
    <w:rsid w:val="00D816F8"/>
    <w:rsid w:val="00D829BF"/>
    <w:rsid w:val="00D85728"/>
    <w:rsid w:val="00D93CD8"/>
    <w:rsid w:val="00D95481"/>
    <w:rsid w:val="00D95BF8"/>
    <w:rsid w:val="00D96E40"/>
    <w:rsid w:val="00DB4577"/>
    <w:rsid w:val="00DB4648"/>
    <w:rsid w:val="00DB62B0"/>
    <w:rsid w:val="00DC2CE5"/>
    <w:rsid w:val="00DC7A13"/>
    <w:rsid w:val="00DD3B9D"/>
    <w:rsid w:val="00DE3BDD"/>
    <w:rsid w:val="00DE7064"/>
    <w:rsid w:val="00DF2997"/>
    <w:rsid w:val="00E10811"/>
    <w:rsid w:val="00E10BC4"/>
    <w:rsid w:val="00E1415D"/>
    <w:rsid w:val="00E15FA8"/>
    <w:rsid w:val="00E16CCD"/>
    <w:rsid w:val="00E213BD"/>
    <w:rsid w:val="00E233D3"/>
    <w:rsid w:val="00E323E9"/>
    <w:rsid w:val="00E32FB6"/>
    <w:rsid w:val="00E33271"/>
    <w:rsid w:val="00E33BE1"/>
    <w:rsid w:val="00E34018"/>
    <w:rsid w:val="00E345CE"/>
    <w:rsid w:val="00E437D2"/>
    <w:rsid w:val="00E43BF9"/>
    <w:rsid w:val="00E47BC6"/>
    <w:rsid w:val="00E51930"/>
    <w:rsid w:val="00E51A7A"/>
    <w:rsid w:val="00E52DD3"/>
    <w:rsid w:val="00E54739"/>
    <w:rsid w:val="00E54B70"/>
    <w:rsid w:val="00E55751"/>
    <w:rsid w:val="00E5652C"/>
    <w:rsid w:val="00E571F6"/>
    <w:rsid w:val="00E66BEE"/>
    <w:rsid w:val="00E7398E"/>
    <w:rsid w:val="00E82B94"/>
    <w:rsid w:val="00E83B29"/>
    <w:rsid w:val="00E85E4A"/>
    <w:rsid w:val="00E87217"/>
    <w:rsid w:val="00EA2311"/>
    <w:rsid w:val="00EB28D5"/>
    <w:rsid w:val="00EC0716"/>
    <w:rsid w:val="00EC7BC3"/>
    <w:rsid w:val="00ED3D2A"/>
    <w:rsid w:val="00ED7600"/>
    <w:rsid w:val="00EE0DD6"/>
    <w:rsid w:val="00EF6073"/>
    <w:rsid w:val="00EF698B"/>
    <w:rsid w:val="00F04CF8"/>
    <w:rsid w:val="00F1362C"/>
    <w:rsid w:val="00F211C3"/>
    <w:rsid w:val="00F414F1"/>
    <w:rsid w:val="00F46280"/>
    <w:rsid w:val="00F508B8"/>
    <w:rsid w:val="00F51588"/>
    <w:rsid w:val="00F667D3"/>
    <w:rsid w:val="00F72CB1"/>
    <w:rsid w:val="00F770F5"/>
    <w:rsid w:val="00F8215E"/>
    <w:rsid w:val="00F824F5"/>
    <w:rsid w:val="00F83379"/>
    <w:rsid w:val="00F87765"/>
    <w:rsid w:val="00F90FAB"/>
    <w:rsid w:val="00F9374D"/>
    <w:rsid w:val="00FA166D"/>
    <w:rsid w:val="00FB0FCC"/>
    <w:rsid w:val="00FB6924"/>
    <w:rsid w:val="00FC29B9"/>
    <w:rsid w:val="00FC6FD3"/>
    <w:rsid w:val="00FD36F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FC0E9"/>
  <w15:chartTrackingRefBased/>
  <w15:docId w15:val="{B0DEF1BC-21E2-4D9B-8231-90EE1F93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E5B"/>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Spacing">
    <w:name w:val="No Spacing"/>
    <w:uiPriority w:val="1"/>
    <w:qFormat/>
    <w:rsid w:val="009A366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0562">
      <w:bodyDiv w:val="1"/>
      <w:marLeft w:val="0"/>
      <w:marRight w:val="0"/>
      <w:marTop w:val="0"/>
      <w:marBottom w:val="0"/>
      <w:divBdr>
        <w:top w:val="none" w:sz="0" w:space="0" w:color="auto"/>
        <w:left w:val="none" w:sz="0" w:space="0" w:color="auto"/>
        <w:bottom w:val="none" w:sz="0" w:space="0" w:color="auto"/>
        <w:right w:val="none" w:sz="0" w:space="0" w:color="auto"/>
      </w:divBdr>
    </w:div>
    <w:div w:id="593703729">
      <w:bodyDiv w:val="1"/>
      <w:marLeft w:val="0"/>
      <w:marRight w:val="0"/>
      <w:marTop w:val="0"/>
      <w:marBottom w:val="0"/>
      <w:divBdr>
        <w:top w:val="none" w:sz="0" w:space="0" w:color="auto"/>
        <w:left w:val="none" w:sz="0" w:space="0" w:color="auto"/>
        <w:bottom w:val="none" w:sz="0" w:space="0" w:color="auto"/>
        <w:right w:val="none" w:sz="0" w:space="0" w:color="auto"/>
      </w:divBdr>
    </w:div>
    <w:div w:id="896476950">
      <w:bodyDiv w:val="1"/>
      <w:marLeft w:val="0"/>
      <w:marRight w:val="0"/>
      <w:marTop w:val="0"/>
      <w:marBottom w:val="0"/>
      <w:divBdr>
        <w:top w:val="none" w:sz="0" w:space="0" w:color="auto"/>
        <w:left w:val="none" w:sz="0" w:space="0" w:color="auto"/>
        <w:bottom w:val="none" w:sz="0" w:space="0" w:color="auto"/>
        <w:right w:val="none" w:sz="0" w:space="0" w:color="auto"/>
      </w:divBdr>
    </w:div>
    <w:div w:id="1324549345">
      <w:bodyDiv w:val="1"/>
      <w:marLeft w:val="0"/>
      <w:marRight w:val="0"/>
      <w:marTop w:val="0"/>
      <w:marBottom w:val="0"/>
      <w:divBdr>
        <w:top w:val="none" w:sz="0" w:space="0" w:color="auto"/>
        <w:left w:val="none" w:sz="0" w:space="0" w:color="auto"/>
        <w:bottom w:val="none" w:sz="0" w:space="0" w:color="auto"/>
        <w:right w:val="none" w:sz="0" w:space="0" w:color="auto"/>
      </w:divBdr>
    </w:div>
    <w:div w:id="1357317450">
      <w:bodyDiv w:val="1"/>
      <w:marLeft w:val="0"/>
      <w:marRight w:val="0"/>
      <w:marTop w:val="0"/>
      <w:marBottom w:val="0"/>
      <w:divBdr>
        <w:top w:val="none" w:sz="0" w:space="0" w:color="auto"/>
        <w:left w:val="none" w:sz="0" w:space="0" w:color="auto"/>
        <w:bottom w:val="none" w:sz="0" w:space="0" w:color="auto"/>
        <w:right w:val="none" w:sz="0" w:space="0" w:color="auto"/>
      </w:divBdr>
    </w:div>
    <w:div w:id="1701859110">
      <w:bodyDiv w:val="1"/>
      <w:marLeft w:val="0"/>
      <w:marRight w:val="0"/>
      <w:marTop w:val="0"/>
      <w:marBottom w:val="0"/>
      <w:divBdr>
        <w:top w:val="none" w:sz="0" w:space="0" w:color="auto"/>
        <w:left w:val="none" w:sz="0" w:space="0" w:color="auto"/>
        <w:bottom w:val="none" w:sz="0" w:space="0" w:color="auto"/>
        <w:right w:val="none" w:sz="0" w:space="0" w:color="auto"/>
      </w:divBdr>
    </w:div>
    <w:div w:id="1926766453">
      <w:bodyDiv w:val="1"/>
      <w:marLeft w:val="0"/>
      <w:marRight w:val="0"/>
      <w:marTop w:val="0"/>
      <w:marBottom w:val="0"/>
      <w:divBdr>
        <w:top w:val="none" w:sz="0" w:space="0" w:color="auto"/>
        <w:left w:val="none" w:sz="0" w:space="0" w:color="auto"/>
        <w:bottom w:val="none" w:sz="0" w:space="0" w:color="auto"/>
        <w:right w:val="none" w:sz="0" w:space="0" w:color="auto"/>
      </w:divBdr>
    </w:div>
    <w:div w:id="19779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4bis%20-%20Wuhan\!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RBI5PAMIO524-1616901215-42659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https://nokia.sharepoint.com/sites/gxp/_layouts/15/DocIdRedir.aspx?ID=RBI5PAMIO524-1616901215-42659</Url>
      <Description>RBI5PAMIO524-1616901215-42659</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209</TotalTime>
  <Pages>4</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203</cp:revision>
  <dcterms:created xsi:type="dcterms:W3CDTF">2025-02-26T10:29:00Z</dcterms:created>
  <dcterms:modified xsi:type="dcterms:W3CDTF">2025-03-28T10:03:00Z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f3545f37-488d-4e7f-8b12-70a8a9096ed5</vt:lpwstr>
  </property>
</Properties>
</file>